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8B" w:rsidRPr="00D06618" w:rsidRDefault="00A4348B" w:rsidP="00A4348B">
      <w:pPr>
        <w:tabs>
          <w:tab w:val="left" w:pos="3402"/>
        </w:tabs>
        <w:jc w:val="center"/>
        <w:rPr>
          <w:rFonts w:eastAsiaTheme="majorEastAsia"/>
          <w:bCs/>
          <w:kern w:val="2"/>
          <w:sz w:val="28"/>
          <w:szCs w:val="28"/>
        </w:rPr>
      </w:pPr>
      <w:bookmarkStart w:id="0" w:name="_Toc531291552"/>
      <w:r w:rsidRPr="00D06618">
        <w:rPr>
          <w:rFonts w:eastAsiaTheme="majorEastAsia"/>
          <w:bCs/>
          <w:kern w:val="2"/>
          <w:sz w:val="28"/>
          <w:szCs w:val="28"/>
        </w:rPr>
        <w:t>4.1.1. Агропромышленный комплекс</w:t>
      </w:r>
      <w:bookmarkEnd w:id="0"/>
    </w:p>
    <w:p w:rsidR="00A4348B" w:rsidRPr="00D06618" w:rsidRDefault="00A4348B" w:rsidP="00A4348B">
      <w:pPr>
        <w:jc w:val="center"/>
        <w:rPr>
          <w:rFonts w:eastAsiaTheme="minorEastAsia"/>
          <w:kern w:val="2"/>
          <w:sz w:val="28"/>
          <w:szCs w:val="28"/>
        </w:rPr>
      </w:pPr>
    </w:p>
    <w:p w:rsidR="00A4348B" w:rsidRPr="00D06618" w:rsidRDefault="00A4348B" w:rsidP="00A4348B">
      <w:pPr>
        <w:tabs>
          <w:tab w:val="center" w:pos="4875"/>
          <w:tab w:val="left" w:pos="7125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Состояние и тренды развития.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Ростовская область является одним из крупнейших агропромышленных центров России с высоким уровнем развития сельского хозяйства и пищевой перерабатывающей промышленности. По итогам 2017 года Ростовская область занимает лидирующие позиции в России по следующим направлениям: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1-е место – валовой сбор пшеницы озимой и яровой;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1-е место – валовой сбор семян и плодов масличных культур;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1-е место – производство масла растительного рафинированного;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2-е место – </w:t>
      </w:r>
      <w:proofErr w:type="gramStart"/>
      <w:r w:rsidRPr="00D06618">
        <w:rPr>
          <w:rFonts w:eastAsia="Calibri"/>
          <w:kern w:val="2"/>
          <w:sz w:val="28"/>
          <w:szCs w:val="28"/>
        </w:rPr>
        <w:t>стоимостной</w:t>
      </w:r>
      <w:proofErr w:type="gramEnd"/>
      <w:r w:rsidRPr="00D06618">
        <w:rPr>
          <w:rFonts w:eastAsia="Calibri"/>
          <w:kern w:val="2"/>
          <w:sz w:val="28"/>
          <w:szCs w:val="28"/>
        </w:rPr>
        <w:t xml:space="preserve"> объем продукции растениеводства;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2-е место – валовой сбор зерновых и зернобобовых, включая кукурузу;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2-е место – производство яиц;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5-е место – </w:t>
      </w:r>
      <w:proofErr w:type="gramStart"/>
      <w:r w:rsidRPr="00D06618">
        <w:rPr>
          <w:rFonts w:eastAsia="Calibri"/>
          <w:kern w:val="2"/>
          <w:sz w:val="28"/>
          <w:szCs w:val="28"/>
        </w:rPr>
        <w:t>стоимостной</w:t>
      </w:r>
      <w:proofErr w:type="gramEnd"/>
      <w:r w:rsidRPr="00D06618">
        <w:rPr>
          <w:rFonts w:eastAsia="Calibri"/>
          <w:kern w:val="2"/>
          <w:sz w:val="28"/>
          <w:szCs w:val="28"/>
        </w:rPr>
        <w:t xml:space="preserve"> объем продукции животноводства;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5-е место – производство молока;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5-е место – поголовье крупного рогатого скота;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10-е место – поголовье птицы.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Ключевые динамические параметры, отражающие развитие агропромышленного комплекса Ростовской области </w:t>
      </w:r>
      <w:r w:rsidRPr="00D06618">
        <w:rPr>
          <w:rFonts w:eastAsia="Calibri"/>
          <w:kern w:val="2"/>
          <w:sz w:val="28"/>
          <w:szCs w:val="28"/>
        </w:rPr>
        <w:t>в 2011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–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2017 годах</w:t>
      </w:r>
      <w:r w:rsidRPr="00D06618">
        <w:rPr>
          <w:kern w:val="2"/>
          <w:sz w:val="28"/>
          <w:szCs w:val="28"/>
        </w:rPr>
        <w:t>, представлены в таблице № 7.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</w:p>
    <w:p w:rsidR="00A4348B" w:rsidRPr="00D06618" w:rsidRDefault="00A4348B" w:rsidP="00A4348B">
      <w:pPr>
        <w:jc w:val="right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Таблица № 7</w:t>
      </w:r>
    </w:p>
    <w:p w:rsidR="00A4348B" w:rsidRDefault="00A4348B" w:rsidP="00A4348B">
      <w:pPr>
        <w:jc w:val="center"/>
        <w:rPr>
          <w:rFonts w:eastAsia="Calibri"/>
          <w:kern w:val="2"/>
          <w:sz w:val="28"/>
          <w:szCs w:val="28"/>
        </w:rPr>
      </w:pPr>
    </w:p>
    <w:p w:rsidR="00A4348B" w:rsidRDefault="00A4348B" w:rsidP="00A4348B">
      <w:pPr>
        <w:jc w:val="center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Динамика ключевых показателей развития </w:t>
      </w:r>
    </w:p>
    <w:p w:rsidR="00A4348B" w:rsidRPr="00D06618" w:rsidRDefault="00A4348B" w:rsidP="00A4348B">
      <w:pPr>
        <w:jc w:val="center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агропромышленного комплекса Ростовской области в 2011 – 2017 годах</w:t>
      </w:r>
    </w:p>
    <w:p w:rsidR="00A4348B" w:rsidRPr="00D06618" w:rsidRDefault="00A4348B" w:rsidP="00A4348B">
      <w:pPr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7"/>
        <w:gridCol w:w="1024"/>
        <w:gridCol w:w="1025"/>
        <w:gridCol w:w="1023"/>
        <w:gridCol w:w="1023"/>
        <w:gridCol w:w="1023"/>
        <w:gridCol w:w="1023"/>
        <w:gridCol w:w="1091"/>
      </w:tblGrid>
      <w:tr w:rsidR="00A4348B" w:rsidRPr="00794803" w:rsidTr="00DC4C82">
        <w:trPr>
          <w:tblHeader/>
        </w:trPr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rFonts w:eastAsiaTheme="minorEastAsia"/>
                <w:kern w:val="2"/>
                <w:sz w:val="24"/>
                <w:szCs w:val="24"/>
              </w:rPr>
              <w:t>Наименование параметра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2011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2012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2013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2014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2015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2016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2017</w:t>
            </w:r>
          </w:p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год</w:t>
            </w:r>
          </w:p>
        </w:tc>
      </w:tr>
      <w:tr w:rsidR="00A4348B" w:rsidRPr="00794803" w:rsidTr="00DC4C82">
        <w:trPr>
          <w:tblHeader/>
        </w:trPr>
        <w:tc>
          <w:tcPr>
            <w:tcW w:w="1182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41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40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40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40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76" w:type="pct"/>
            <w:shd w:val="clear" w:color="auto" w:fill="auto"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8</w:t>
            </w:r>
          </w:p>
        </w:tc>
      </w:tr>
      <w:tr w:rsidR="00A4348B" w:rsidRPr="00794803" w:rsidTr="00DC4C82">
        <w:tc>
          <w:tcPr>
            <w:tcW w:w="5000" w:type="pct"/>
            <w:gridSpan w:val="8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94803">
              <w:rPr>
                <w:bCs/>
                <w:kern w:val="2"/>
                <w:sz w:val="24"/>
                <w:szCs w:val="24"/>
              </w:rPr>
              <w:t xml:space="preserve">Продукция сельского хозяйства </w:t>
            </w:r>
          </w:p>
          <w:p w:rsidR="00A4348B" w:rsidRPr="00794803" w:rsidRDefault="00A4348B" w:rsidP="00DC4C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94803">
              <w:rPr>
                <w:bCs/>
                <w:kern w:val="2"/>
                <w:sz w:val="24"/>
                <w:szCs w:val="24"/>
              </w:rPr>
              <w:t>(в хозяйствах всех категорий; в фактически действовавших ценах) (</w:t>
            </w:r>
            <w:proofErr w:type="spellStart"/>
            <w:proofErr w:type="gramStart"/>
            <w:r w:rsidRPr="00794803">
              <w:rPr>
                <w:bCs/>
                <w:kern w:val="2"/>
                <w:sz w:val="24"/>
                <w:szCs w:val="24"/>
              </w:rPr>
              <w:t>млрд</w:t>
            </w:r>
            <w:proofErr w:type="spellEnd"/>
            <w:proofErr w:type="gramEnd"/>
            <w:r w:rsidRPr="00794803">
              <w:rPr>
                <w:bCs/>
                <w:kern w:val="2"/>
                <w:sz w:val="24"/>
                <w:szCs w:val="24"/>
              </w:rPr>
              <w:t xml:space="preserve"> рублей)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Ростовская область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149,0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154,7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161,3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191,3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244,3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280,9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256,6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rFonts w:eastAsiaTheme="minorEastAsia"/>
                <w:kern w:val="2"/>
                <w:sz w:val="24"/>
                <w:szCs w:val="24"/>
              </w:rPr>
              <w:t>Доля РО в РФ (процентов)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4,6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4,6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4,4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4,4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4,7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5,1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4,5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Место РО в РФ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3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</w:tr>
      <w:tr w:rsidR="00A4348B" w:rsidRPr="00794803" w:rsidTr="00DC4C82">
        <w:tc>
          <w:tcPr>
            <w:tcW w:w="5000" w:type="pct"/>
            <w:gridSpan w:val="8"/>
            <w:shd w:val="clear" w:color="auto" w:fill="auto"/>
            <w:hideMark/>
          </w:tcPr>
          <w:p w:rsidR="00A4348B" w:rsidRDefault="00A4348B" w:rsidP="00DC4C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94803">
              <w:rPr>
                <w:bCs/>
                <w:kern w:val="2"/>
                <w:sz w:val="24"/>
                <w:szCs w:val="24"/>
              </w:rPr>
              <w:t>Отгружено товаров собственного производства,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794803">
              <w:rPr>
                <w:bCs/>
                <w:kern w:val="2"/>
                <w:sz w:val="24"/>
                <w:szCs w:val="24"/>
              </w:rPr>
              <w:t xml:space="preserve">выполнено </w:t>
            </w:r>
          </w:p>
          <w:p w:rsidR="00A4348B" w:rsidRDefault="00A4348B" w:rsidP="00DC4C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94803">
              <w:rPr>
                <w:bCs/>
                <w:kern w:val="2"/>
                <w:sz w:val="24"/>
                <w:szCs w:val="24"/>
              </w:rPr>
              <w:t xml:space="preserve">работ и услуг собственными силами по виду экономической деятельности </w:t>
            </w:r>
          </w:p>
          <w:p w:rsidR="00A4348B" w:rsidRPr="00794803" w:rsidRDefault="00A4348B" w:rsidP="00DC4C8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94803">
              <w:rPr>
                <w:bCs/>
                <w:kern w:val="2"/>
                <w:sz w:val="24"/>
                <w:szCs w:val="24"/>
              </w:rPr>
              <w:t>«Производство пищевых продуктов, включая напитки, и табака» (</w:t>
            </w:r>
            <w:proofErr w:type="spellStart"/>
            <w:proofErr w:type="gramStart"/>
            <w:r w:rsidRPr="00794803">
              <w:rPr>
                <w:bCs/>
                <w:kern w:val="2"/>
                <w:sz w:val="24"/>
                <w:szCs w:val="24"/>
              </w:rPr>
              <w:t>млрд</w:t>
            </w:r>
            <w:proofErr w:type="spellEnd"/>
            <w:proofErr w:type="gramEnd"/>
            <w:r w:rsidRPr="00794803">
              <w:rPr>
                <w:bCs/>
                <w:kern w:val="2"/>
                <w:sz w:val="24"/>
                <w:szCs w:val="24"/>
              </w:rPr>
              <w:t xml:space="preserve"> рублей)*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Ростовская область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113,5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129,2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123,2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124,4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173,5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184,5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153,5**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rFonts w:eastAsiaTheme="minorEastAsia"/>
                <w:kern w:val="2"/>
                <w:sz w:val="24"/>
                <w:szCs w:val="24"/>
              </w:rPr>
              <w:t>Доля РО в РФ (процентов)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2,6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2,8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2,5</w:t>
            </w:r>
          </w:p>
        </w:tc>
      </w:tr>
      <w:tr w:rsidR="00A4348B" w:rsidRPr="00794803" w:rsidTr="00DC4C82">
        <w:tc>
          <w:tcPr>
            <w:tcW w:w="1182" w:type="pct"/>
            <w:shd w:val="clear" w:color="auto" w:fill="auto"/>
            <w:hideMark/>
          </w:tcPr>
          <w:p w:rsidR="00A4348B" w:rsidRPr="00794803" w:rsidRDefault="00A4348B" w:rsidP="00DC4C82">
            <w:pPr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Место РО в РФ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8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1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7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8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11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10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40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12</w:t>
            </w:r>
            <w:r w:rsidRPr="00794803">
              <w:rPr>
                <w:rFonts w:eastAsiaTheme="minorEastAsia"/>
                <w:kern w:val="2"/>
                <w:sz w:val="24"/>
                <w:szCs w:val="24"/>
              </w:rPr>
              <w:t>-е</w:t>
            </w:r>
          </w:p>
        </w:tc>
        <w:tc>
          <w:tcPr>
            <w:tcW w:w="576" w:type="pct"/>
            <w:shd w:val="clear" w:color="auto" w:fill="auto"/>
            <w:hideMark/>
          </w:tcPr>
          <w:p w:rsidR="00A4348B" w:rsidRPr="00794803" w:rsidRDefault="00A4348B" w:rsidP="00DC4C82">
            <w:pPr>
              <w:jc w:val="center"/>
              <w:rPr>
                <w:kern w:val="2"/>
                <w:sz w:val="24"/>
                <w:szCs w:val="24"/>
              </w:rPr>
            </w:pPr>
            <w:r w:rsidRPr="00794803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*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В связи с изменением в ОКВЭД</w:t>
      </w:r>
      <w:proofErr w:type="gramStart"/>
      <w:r w:rsidRPr="00D06618">
        <w:rPr>
          <w:kern w:val="2"/>
          <w:sz w:val="28"/>
          <w:szCs w:val="28"/>
        </w:rPr>
        <w:t>2</w:t>
      </w:r>
      <w:proofErr w:type="gramEnd"/>
      <w:r w:rsidRPr="00D06618">
        <w:rPr>
          <w:kern w:val="2"/>
          <w:sz w:val="28"/>
          <w:szCs w:val="28"/>
        </w:rPr>
        <w:t xml:space="preserve"> структуры вида деятельности «Производство пищевых продуктов, включая напитки, и табака» данные за 2017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год представлены как сумма самостоятельных видов деятельности </w:t>
      </w:r>
      <w:r w:rsidRPr="00D06618">
        <w:rPr>
          <w:kern w:val="2"/>
          <w:sz w:val="28"/>
          <w:szCs w:val="28"/>
        </w:rPr>
        <w:lastRenderedPageBreak/>
        <w:t>«Производство пищевых продуктов», «Производство напитков» и «Производство табачных изделий».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** Данные за январь – декабрь 2017 года.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Сельское хозяйство является одной из ключевых отраслей экономики Ростовской области, составляя 14,2 процента в структуре ее валового регионального продукта. По итогам 2017 года в Ростовской области было произведено продукции сельского хозяйства на 256,6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рублей, что соответствует 2-му месту среди российских регионов (лидером является Краснодарский край). На протяжении анализируемого периода наблюдается тенденция роста отрасли – в 2017 году стоимостной объем продукции сельского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хозяйства, произведенной в регионе, превысил значение 2011 года на 107,6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(на 72,2 процента).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В структуре сельского хозяйства Ростовской области преобладает растениеводство, на долю которого в общей отгрузке продукции сельского хозяйства по итогам 2017 года приходится 71,2 процента, а доля животноводства составляет, соответственно, 28,8 процента. При этом исторический анализ изменений структуры сельского хозяйства выявляет тенденцию дальнейшего усиления растениеводческой специализации в регионе.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Пищевая и перерабатывающая промышленность является одним из важнейших звеньев агропромышленного комплекса региона. За 2017 год доля пищевой и перерабатывающей промышленности в общем объеме отгруженных товаров обрабатывающих производств составила 19 процентов; отгружено товаров производства пищевых продуктов и напитков на 140,4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Динамика </w:t>
      </w:r>
      <w:proofErr w:type="gramStart"/>
      <w:r w:rsidRPr="00D06618">
        <w:rPr>
          <w:kern w:val="2"/>
          <w:sz w:val="28"/>
          <w:szCs w:val="28"/>
        </w:rPr>
        <w:t>роста объемов производства продукции пищевой промышленности Ростовской области</w:t>
      </w:r>
      <w:proofErr w:type="gramEnd"/>
      <w:r w:rsidRPr="00D06618">
        <w:rPr>
          <w:kern w:val="2"/>
          <w:sz w:val="28"/>
          <w:szCs w:val="28"/>
        </w:rPr>
        <w:t xml:space="preserve"> также устойчиво-положительная, однако уступает динамике развития сельского хозяйства. По сравнению с 2011 годом объем отгрузки в отрасли в 2017 году увеличился на 40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(на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35,2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процента).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В пищевой промышленности Ростовская область специализируется на производстве мясной, молочной, рыбной, алкогольной и безалкогольной продукции, продуктов мукомольно-крупяной и хлебопекарной промышленности, растительных масел, плодоовощных консервов.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Крупнейшими предприятиями агропромышленного комплекса Ростовской области являются: </w:t>
      </w:r>
      <w:proofErr w:type="gramStart"/>
      <w:r w:rsidRPr="00D06618">
        <w:rPr>
          <w:kern w:val="2"/>
          <w:sz w:val="28"/>
          <w:szCs w:val="28"/>
        </w:rPr>
        <w:t>Агропромышленный холдинг «</w:t>
      </w:r>
      <w:proofErr w:type="spellStart"/>
      <w:r w:rsidRPr="00D06618">
        <w:rPr>
          <w:kern w:val="2"/>
          <w:sz w:val="28"/>
          <w:szCs w:val="28"/>
        </w:rPr>
        <w:t>Астон</w:t>
      </w:r>
      <w:proofErr w:type="spellEnd"/>
      <w:r w:rsidRPr="00D06618">
        <w:rPr>
          <w:kern w:val="2"/>
          <w:sz w:val="28"/>
          <w:szCs w:val="28"/>
        </w:rPr>
        <w:t>», ГК «Юг Руси», ООО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«Группа </w:t>
      </w:r>
      <w:proofErr w:type="spellStart"/>
      <w:r w:rsidRPr="00D06618">
        <w:rPr>
          <w:kern w:val="2"/>
          <w:sz w:val="28"/>
          <w:szCs w:val="28"/>
        </w:rPr>
        <w:t>Агроком</w:t>
      </w:r>
      <w:proofErr w:type="spellEnd"/>
      <w:r w:rsidRPr="00D06618">
        <w:rPr>
          <w:kern w:val="2"/>
          <w:sz w:val="28"/>
          <w:szCs w:val="28"/>
        </w:rPr>
        <w:t>», ГК «</w:t>
      </w:r>
      <w:proofErr w:type="spellStart"/>
      <w:r w:rsidRPr="00D06618">
        <w:rPr>
          <w:kern w:val="2"/>
          <w:sz w:val="28"/>
          <w:szCs w:val="28"/>
        </w:rPr>
        <w:t>Евродон</w:t>
      </w:r>
      <w:proofErr w:type="spellEnd"/>
      <w:r w:rsidRPr="00D06618">
        <w:rPr>
          <w:kern w:val="2"/>
          <w:sz w:val="28"/>
          <w:szCs w:val="28"/>
        </w:rPr>
        <w:t>», ООО «Агрофирма «Целина», ООО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«</w:t>
      </w:r>
      <w:proofErr w:type="spellStart"/>
      <w:r w:rsidRPr="00D06618">
        <w:rPr>
          <w:kern w:val="2"/>
          <w:sz w:val="28"/>
          <w:szCs w:val="28"/>
        </w:rPr>
        <w:t>Амилко</w:t>
      </w:r>
      <w:proofErr w:type="spellEnd"/>
      <w:r w:rsidRPr="00D06618">
        <w:rPr>
          <w:kern w:val="2"/>
          <w:sz w:val="28"/>
          <w:szCs w:val="28"/>
        </w:rPr>
        <w:t>», ООО КФ «Мишкино», ООО «Азовская кондитерская фабрика», ООО «Белый медведь», ООО «</w:t>
      </w:r>
      <w:proofErr w:type="spellStart"/>
      <w:r w:rsidRPr="00D06618">
        <w:rPr>
          <w:kern w:val="2"/>
          <w:sz w:val="28"/>
          <w:szCs w:val="28"/>
        </w:rPr>
        <w:t>Донстар</w:t>
      </w:r>
      <w:proofErr w:type="spellEnd"/>
      <w:r w:rsidRPr="00D06618">
        <w:rPr>
          <w:kern w:val="2"/>
          <w:sz w:val="28"/>
          <w:szCs w:val="28"/>
        </w:rPr>
        <w:t xml:space="preserve">», ЗАО «Русская свинина», ООО «Русская свинина, Миллерово», ОАО «Птицефабрика Таганрогская», ОАО сыродельный завод «Семикаракорский», ИП </w:t>
      </w:r>
      <w:proofErr w:type="spellStart"/>
      <w:r w:rsidRPr="00D06618">
        <w:rPr>
          <w:kern w:val="2"/>
          <w:sz w:val="28"/>
          <w:szCs w:val="28"/>
        </w:rPr>
        <w:t>Гуковская</w:t>
      </w:r>
      <w:proofErr w:type="spellEnd"/>
      <w:r w:rsidRPr="00D06618">
        <w:rPr>
          <w:kern w:val="2"/>
          <w:sz w:val="28"/>
          <w:szCs w:val="28"/>
        </w:rPr>
        <w:t xml:space="preserve"> М.А. и другие.</w:t>
      </w:r>
      <w:proofErr w:type="gramEnd"/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Конкурентоспособность производителей агропромышленного комплекса региона подтверждается лидирующими позициями области по </w:t>
      </w:r>
      <w:r w:rsidRPr="00D06618">
        <w:rPr>
          <w:kern w:val="2"/>
          <w:sz w:val="28"/>
          <w:szCs w:val="28"/>
        </w:rPr>
        <w:lastRenderedPageBreak/>
        <w:t xml:space="preserve">экспорту продовольственных товаров и сельскохозяйственного сырья. Так, в 2017 году объем экспорта региона по данной группе товаров составил 4,1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долларов США, что составляет более 20 процентов от общероссийского объема.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Необходимо отметить, что для агропромышленного комплекса Ростовской области, как и России в целом, характерна сравнительно низкая доля сельскохозяйственной продукции глубокой степени переработки в общем объеме производства, в то время как в некоторых развитых странах глубокую переработку проходит до 35 процентов всего произведенного сельскохозяйственного сырья.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Ключевые проблемы.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1. Дефицит финансовых ресурсов для развития предприятий АПК.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Нехватка финансовых ресурсов у предприятий АПК в значительной степени обусловлена низкой доступностью кредитных продуктов ввиду высокой стоимости заемных средств и недостаточной ликвидной залоговой базы у предприятий. Еще одним фактором, не позволяющим наращивать объемы кредитования, является высокая текущая закредитованность предприятий АПК: по оценке экспертов, их совокупные обязательства за 2017 год составили 112</w:t>
      </w:r>
      <w:r>
        <w:rPr>
          <w:rFonts w:eastAsia="Calibri"/>
          <w:kern w:val="2"/>
          <w:sz w:val="28"/>
          <w:szCs w:val="28"/>
        </w:rPr>
        <w:t> </w:t>
      </w:r>
      <w:proofErr w:type="spellStart"/>
      <w:proofErr w:type="gramStart"/>
      <w:r w:rsidRPr="00D06618">
        <w:rPr>
          <w:rFonts w:eastAsia="Calibri"/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rFonts w:eastAsia="Calibri"/>
          <w:kern w:val="2"/>
          <w:sz w:val="28"/>
          <w:szCs w:val="28"/>
        </w:rPr>
        <w:t xml:space="preserve"> рублей (38,5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 от стоимостного объема продукции сельского хозяйства).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proofErr w:type="gramStart"/>
      <w:r w:rsidRPr="00D06618">
        <w:rPr>
          <w:rFonts w:eastAsia="Calibri"/>
          <w:kern w:val="2"/>
          <w:sz w:val="28"/>
          <w:szCs w:val="28"/>
        </w:rPr>
        <w:t xml:space="preserve">Кроме того, предприятия АПК на территории Ростовской области ограничены в реинвестировании собственной прибыли из-за низкой рентабельности сельскохозяйственного производства: в Ростовской области она составляет в среднем 18 </w:t>
      </w:r>
      <w:r w:rsidRPr="00D06618">
        <w:rPr>
          <w:kern w:val="2"/>
          <w:sz w:val="28"/>
          <w:szCs w:val="28"/>
        </w:rPr>
        <w:t>процентов</w:t>
      </w:r>
      <w:r w:rsidRPr="00D06618">
        <w:rPr>
          <w:rFonts w:eastAsia="Calibri"/>
          <w:kern w:val="2"/>
          <w:sz w:val="28"/>
          <w:szCs w:val="28"/>
        </w:rPr>
        <w:t xml:space="preserve">, тогда как в соседних регионах, в частности в Краснодарском и Ставропольском краях, Волгоградской области – в среднем около 30 </w:t>
      </w:r>
      <w:r w:rsidRPr="00D06618">
        <w:rPr>
          <w:kern w:val="2"/>
          <w:sz w:val="28"/>
          <w:szCs w:val="28"/>
        </w:rPr>
        <w:t>процентов</w:t>
      </w:r>
      <w:r w:rsidRPr="00D06618">
        <w:rPr>
          <w:rFonts w:eastAsia="Calibri"/>
          <w:kern w:val="2"/>
          <w:sz w:val="28"/>
          <w:szCs w:val="28"/>
        </w:rPr>
        <w:t>.</w:t>
      </w:r>
      <w:proofErr w:type="gramEnd"/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Высокие риски природно-климатических аномалий и возникновения неблагоприятных эпизоотических ситуаций.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По оценкам экспертов, в результате различных аномальных природных явлений сельскохозяйственные товаропроизводители недополучают от 10 до 15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процентов</w:t>
      </w:r>
      <w:r w:rsidRPr="00D06618">
        <w:rPr>
          <w:rFonts w:eastAsia="Calibri"/>
          <w:kern w:val="2"/>
          <w:sz w:val="28"/>
          <w:szCs w:val="28"/>
        </w:rPr>
        <w:t xml:space="preserve"> урожая отдельных сельскохозяйственных культур.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Высоким рискам </w:t>
      </w:r>
      <w:r w:rsidRPr="00D06618">
        <w:rPr>
          <w:kern w:val="2"/>
          <w:sz w:val="28"/>
          <w:szCs w:val="28"/>
        </w:rPr>
        <w:t>возникновения неблагоприятных эпизоотических ситуаций подвержены свиноводство, птицеводство и скотоводство. При этом о</w:t>
      </w:r>
      <w:r w:rsidRPr="00D06618">
        <w:rPr>
          <w:rFonts w:eastAsia="Calibri"/>
          <w:kern w:val="2"/>
          <w:sz w:val="28"/>
          <w:szCs w:val="28"/>
        </w:rPr>
        <w:t xml:space="preserve">бъем ущерба при отчуждении </w:t>
      </w:r>
      <w:proofErr w:type="spellStart"/>
      <w:r w:rsidRPr="00D06618">
        <w:rPr>
          <w:rFonts w:eastAsia="Calibri"/>
          <w:kern w:val="2"/>
          <w:sz w:val="28"/>
          <w:szCs w:val="28"/>
        </w:rPr>
        <w:t>свинопоголовья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вследствие возникновения африканской чумы составляет порядка 10 тыс. рублей за одну голову. При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обнаружении гриппа птиц ущерб составляет порядка 2 тыс. рублей за одну голову, крупного рогатого скота (лейкоз, бруцеллез) – 63 тыс. рублей.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3. Деградация и снижение плодородия почв.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Несоблюдение правил эксплуатации почвенного покрова усиливает процессы деградации почв: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содержание гумуса в почвах Ростовской области по данным первого тура обследований (1965 – 1968 годы) составляло 3,5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, а к девятому туру обследований (2011 – 2015 годы) снизилось до 3,18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. Оптимальное значение должно быть не ниже 3,5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. На восстановление 1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 гумуса требуется более 100 лет;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lastRenderedPageBreak/>
        <w:t>содержание подвижного фосфора в 1997 году составляло 27,8 мг/кг почвы, в 2006 году – 18,0 мг/кг. В 2017 году содержание подвижного фосфора находилось на уровне 23,8 мг/кг (оптимальное значение – 30,0 – 40,0 мг/кг)</w:t>
      </w:r>
      <w:r>
        <w:rPr>
          <w:rFonts w:eastAsia="Calibri"/>
          <w:kern w:val="2"/>
          <w:sz w:val="28"/>
          <w:szCs w:val="28"/>
        </w:rPr>
        <w:t>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снижение естественного плодородия почв соответствует недобору урожая зерновых в среднем по 10 </w:t>
      </w:r>
      <w:proofErr w:type="spellStart"/>
      <w:r w:rsidRPr="00D06618">
        <w:rPr>
          <w:rFonts w:eastAsia="Calibri"/>
          <w:kern w:val="2"/>
          <w:sz w:val="28"/>
          <w:szCs w:val="28"/>
        </w:rPr>
        <w:t>ц</w:t>
      </w:r>
      <w:proofErr w:type="spellEnd"/>
      <w:r w:rsidRPr="00D06618">
        <w:rPr>
          <w:rFonts w:eastAsia="Calibri"/>
          <w:kern w:val="2"/>
          <w:sz w:val="28"/>
          <w:szCs w:val="28"/>
        </w:rPr>
        <w:t>/га.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 Дефицит квалифицированных кадров в отрасли.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Нехватка квалифицированных кадров в АПК обусловлена общим снижением численности сельского населения – на 42,5 тыс. человек (на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процента) за 2011 – 2017 годы. Причиной сложившейся тенденции является низкая привлекательность жизни и работы в сельской местности (неразвитость социальной инфраструктуры, низкий уровень заработной платы).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Анализ качественной структуры занятых в отрасли также свидетельствует о недостаточной квалификации кадров. В сельскохозяйственных организациях в Ростовской области доля занятых в производстве с высшим образованием составляет 19,2 процента, со средним профессиональным образованием по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программам подготовки специалистов среднего звена – 29,7 процента, средним профессиональным образованием по программам подготовки квалифицированных рабочих (служащих) – 27,3 процента, отсутствует профессиональное образование – 23,8 процента.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5. Высокий уровень износа сельскохозяйственной техники.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П</w:t>
      </w:r>
      <w:r w:rsidRPr="00D06618">
        <w:rPr>
          <w:rFonts w:eastAsia="Calibri"/>
          <w:kern w:val="2"/>
          <w:sz w:val="28"/>
          <w:szCs w:val="28"/>
        </w:rPr>
        <w:t xml:space="preserve">о состоянию на 2017 год в Ростовской области износ сельскохозяйственной техники, используемой за пределами сроков амортизации, составляет: тракторы – 66 </w:t>
      </w:r>
      <w:r w:rsidRPr="00D06618">
        <w:rPr>
          <w:kern w:val="2"/>
          <w:sz w:val="28"/>
          <w:szCs w:val="28"/>
        </w:rPr>
        <w:t>процентов</w:t>
      </w:r>
      <w:r w:rsidRPr="00D06618">
        <w:rPr>
          <w:rFonts w:eastAsia="Calibri"/>
          <w:kern w:val="2"/>
          <w:sz w:val="28"/>
          <w:szCs w:val="28"/>
        </w:rPr>
        <w:t xml:space="preserve">, комбайны – 55 </w:t>
      </w:r>
      <w:r w:rsidRPr="00D06618">
        <w:rPr>
          <w:kern w:val="2"/>
          <w:sz w:val="28"/>
          <w:szCs w:val="28"/>
        </w:rPr>
        <w:t>процентов</w:t>
      </w:r>
      <w:r w:rsidRPr="00D06618">
        <w:rPr>
          <w:rFonts w:eastAsia="Calibri"/>
          <w:kern w:val="2"/>
          <w:sz w:val="28"/>
          <w:szCs w:val="28"/>
        </w:rPr>
        <w:t>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6. </w:t>
      </w:r>
      <w:proofErr w:type="spellStart"/>
      <w:r w:rsidRPr="00D06618">
        <w:rPr>
          <w:kern w:val="2"/>
          <w:sz w:val="28"/>
          <w:szCs w:val="28"/>
        </w:rPr>
        <w:t>Транспортно-логистические</w:t>
      </w:r>
      <w:proofErr w:type="spellEnd"/>
      <w:r w:rsidRPr="00D06618">
        <w:rPr>
          <w:kern w:val="2"/>
          <w:sz w:val="28"/>
          <w:szCs w:val="28"/>
        </w:rPr>
        <w:t xml:space="preserve"> ограничения.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Значительными инфраструктурными ограничениями для реализации агропромышленного потенциала региона в рамках </w:t>
      </w:r>
      <w:proofErr w:type="spellStart"/>
      <w:r w:rsidRPr="00D06618">
        <w:rPr>
          <w:kern w:val="2"/>
          <w:sz w:val="28"/>
          <w:szCs w:val="28"/>
        </w:rPr>
        <w:t>транспортно-логистического</w:t>
      </w:r>
      <w:proofErr w:type="spellEnd"/>
      <w:r w:rsidRPr="00D06618">
        <w:rPr>
          <w:kern w:val="2"/>
          <w:sz w:val="28"/>
          <w:szCs w:val="28"/>
        </w:rPr>
        <w:t xml:space="preserve"> комплекса являются следующие факторы: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морально устаревшая инфраструктура хранилищ зерна и несоответствие их мощности растущим объемам производства: объемы производства в 3 раза превышают текущие мощности хранения. Большинство элеваторов, хлебоприемных пунктов и портовых терминалов построены в 60 – 70-х годах XX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века. Существует дефицит специализированных складских комплексов (овощехранилищ, холодильников и другого) для хранения плодов и овощей, мяса и тому подобного;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при экспорте сельскохозяйственной продукции наблюдается нехватка судов смешанного (река – море) плаван</w:t>
      </w:r>
      <w:r>
        <w:rPr>
          <w:rFonts w:eastAsia="Calibri"/>
          <w:kern w:val="2"/>
          <w:sz w:val="28"/>
          <w:szCs w:val="28"/>
        </w:rPr>
        <w:t>и</w:t>
      </w:r>
      <w:r w:rsidRPr="00D06618">
        <w:rPr>
          <w:rFonts w:eastAsia="Calibri"/>
          <w:kern w:val="2"/>
          <w:sz w:val="28"/>
          <w:szCs w:val="28"/>
        </w:rPr>
        <w:t>я, которая сказывается на стоимости фрахта;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неудовлетворительное текущее состояние русла – сложности в навигации по реке Дон, которые увеличивают время судов в пути;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увеличение грузопотока автомобилей, в том числе, проходящего через улицы города Ростова-на-Дону, Азова, Таганрога;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не реализована возможность использования грузового терминала аэропорта Ростов-на-Дону (Платов) для перевозки продукции.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lastRenderedPageBreak/>
        <w:t xml:space="preserve">7. Проблемы развития </w:t>
      </w:r>
      <w:proofErr w:type="spellStart"/>
      <w:r w:rsidRPr="00D06618">
        <w:rPr>
          <w:kern w:val="2"/>
          <w:sz w:val="28"/>
          <w:szCs w:val="28"/>
        </w:rPr>
        <w:t>рыбохозяйственного</w:t>
      </w:r>
      <w:proofErr w:type="spellEnd"/>
      <w:r w:rsidRPr="00D06618">
        <w:rPr>
          <w:kern w:val="2"/>
          <w:sz w:val="28"/>
          <w:szCs w:val="28"/>
        </w:rPr>
        <w:t xml:space="preserve"> комплекса.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Основными сдерживающими факторами для развития </w:t>
      </w:r>
      <w:proofErr w:type="spellStart"/>
      <w:r w:rsidRPr="00D06618">
        <w:rPr>
          <w:kern w:val="2"/>
          <w:sz w:val="28"/>
          <w:szCs w:val="28"/>
        </w:rPr>
        <w:t>рыбохозяйственного</w:t>
      </w:r>
      <w:proofErr w:type="spellEnd"/>
      <w:r w:rsidRPr="00D06618">
        <w:rPr>
          <w:kern w:val="2"/>
          <w:sz w:val="28"/>
          <w:szCs w:val="28"/>
        </w:rPr>
        <w:t xml:space="preserve"> комплекса региона являются: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падение запасов и уловов ценных видов рыб в Азово-Донском бассейне;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proofErr w:type="spellStart"/>
      <w:r w:rsidRPr="00D06618">
        <w:rPr>
          <w:rFonts w:eastAsia="Calibri"/>
          <w:kern w:val="2"/>
          <w:sz w:val="28"/>
          <w:szCs w:val="28"/>
        </w:rPr>
        <w:t>диспаритет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цен – опережающий рост цен на энергоресурсы и другие материально-технические ресурсы по сравнению с динамикой цен реализации </w:t>
      </w:r>
      <w:proofErr w:type="spellStart"/>
      <w:r w:rsidRPr="00D06618">
        <w:rPr>
          <w:rFonts w:eastAsia="Calibri"/>
          <w:kern w:val="2"/>
          <w:sz w:val="28"/>
          <w:szCs w:val="28"/>
        </w:rPr>
        <w:t>рыбопродукции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, что приводит к снижению доходов и финансовой устойчивости </w:t>
      </w:r>
      <w:proofErr w:type="spellStart"/>
      <w:r w:rsidRPr="00D06618">
        <w:rPr>
          <w:rFonts w:eastAsia="Calibri"/>
          <w:kern w:val="2"/>
          <w:sz w:val="28"/>
          <w:szCs w:val="28"/>
        </w:rPr>
        <w:t>рыбохозяйственных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организаций;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ограниченный ассортимент продукции, что негативно влияет на объем сбыта (например, практически все прудовые хозяйства выращивают только 3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вида рыб: карп, толстолобик и амур).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8.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Недостаточная степень развития системы продвижения региональной продукции АПК.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Подтверждением наличия этой проблемы является </w:t>
      </w:r>
      <w:proofErr w:type="gramStart"/>
      <w:r w:rsidRPr="00D06618">
        <w:rPr>
          <w:kern w:val="2"/>
          <w:sz w:val="28"/>
          <w:szCs w:val="28"/>
        </w:rPr>
        <w:t>слабая</w:t>
      </w:r>
      <w:proofErr w:type="gram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представленность</w:t>
      </w:r>
      <w:proofErr w:type="spellEnd"/>
      <w:r w:rsidRPr="00D06618">
        <w:rPr>
          <w:kern w:val="2"/>
          <w:sz w:val="28"/>
          <w:szCs w:val="28"/>
        </w:rPr>
        <w:t xml:space="preserve"> донских товаров в региональных торговых сетях. Так, доля </w:t>
      </w:r>
      <w:r w:rsidRPr="00D06618">
        <w:rPr>
          <w:rFonts w:eastAsia="Calibri"/>
          <w:kern w:val="2"/>
          <w:sz w:val="28"/>
          <w:szCs w:val="28"/>
        </w:rPr>
        <w:t xml:space="preserve">произведенных на Дону кисломолочных продуктов в </w:t>
      </w:r>
      <w:r w:rsidRPr="00D06618">
        <w:rPr>
          <w:kern w:val="2"/>
          <w:sz w:val="28"/>
          <w:szCs w:val="28"/>
        </w:rPr>
        <w:t>региональных торговых сетях</w:t>
      </w:r>
      <w:r w:rsidRPr="00D06618">
        <w:rPr>
          <w:rFonts w:eastAsia="Calibri"/>
          <w:kern w:val="2"/>
          <w:sz w:val="28"/>
          <w:szCs w:val="28"/>
        </w:rPr>
        <w:t xml:space="preserve"> составляет 15,7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молока питьевого – 17,3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масла сливочного – 28,3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растительного масла – 19,6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свежих томатов и огурцов – 9,1 </w:t>
      </w:r>
      <w:r w:rsidRPr="00D06618">
        <w:rPr>
          <w:kern w:val="2"/>
          <w:sz w:val="28"/>
          <w:szCs w:val="28"/>
        </w:rPr>
        <w:t xml:space="preserve">процента </w:t>
      </w:r>
      <w:r w:rsidRPr="00D06618">
        <w:rPr>
          <w:rFonts w:eastAsia="Calibri"/>
          <w:kern w:val="2"/>
          <w:sz w:val="28"/>
          <w:szCs w:val="28"/>
        </w:rPr>
        <w:t xml:space="preserve">и 12,0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риса и пшеничной крупы – 15,7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 и 30,4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картофеля – 8,3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лука – 8,3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капусты – 8,5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моркови – 14,9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живой и охлажденной рыбы – 18,9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 xml:space="preserve">; замороженной рыбы – 6,1 </w:t>
      </w:r>
      <w:r w:rsidRPr="00D06618">
        <w:rPr>
          <w:kern w:val="2"/>
          <w:sz w:val="28"/>
          <w:szCs w:val="28"/>
        </w:rPr>
        <w:t>процента</w:t>
      </w:r>
      <w:r w:rsidRPr="00D06618">
        <w:rPr>
          <w:rFonts w:eastAsia="Calibri"/>
          <w:kern w:val="2"/>
          <w:sz w:val="28"/>
          <w:szCs w:val="28"/>
        </w:rPr>
        <w:t>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9. Дефицит защитных лесонасаждений на землях сельскохозяйственного назначения.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Имеющиеся на территории Ростовской области </w:t>
      </w:r>
      <w:proofErr w:type="spellStart"/>
      <w:r w:rsidRPr="00D06618">
        <w:rPr>
          <w:kern w:val="2"/>
          <w:sz w:val="28"/>
          <w:szCs w:val="28"/>
        </w:rPr>
        <w:t>агролесомелиоративные</w:t>
      </w:r>
      <w:proofErr w:type="spellEnd"/>
      <w:r w:rsidRPr="00D06618">
        <w:rPr>
          <w:kern w:val="2"/>
          <w:sz w:val="28"/>
          <w:szCs w:val="28"/>
        </w:rPr>
        <w:t xml:space="preserve"> (полезащитные) насаждения на площади около 126 тыс. гектаров обеспечивают защитную лесистость пашни в размере 2,2 процента, что существенно ниже научно обоснованного норматива – 5 процентов. При этом около 56 процентов территории региона подвержены опустыниванию. Для решения этих задач требуется создание </w:t>
      </w:r>
      <w:proofErr w:type="spellStart"/>
      <w:r w:rsidRPr="00D06618">
        <w:rPr>
          <w:kern w:val="2"/>
          <w:sz w:val="28"/>
          <w:szCs w:val="28"/>
        </w:rPr>
        <w:t>агролесомелиоративных</w:t>
      </w:r>
      <w:proofErr w:type="spellEnd"/>
      <w:r w:rsidRPr="00D06618">
        <w:rPr>
          <w:kern w:val="2"/>
          <w:sz w:val="28"/>
          <w:szCs w:val="28"/>
        </w:rPr>
        <w:t xml:space="preserve"> насаждений на площади 160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гектаров, доведя ее до 286 тыс. гектаров.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Ключевые тренды.</w:t>
      </w:r>
    </w:p>
    <w:p w:rsidR="00A4348B" w:rsidRPr="00D06618" w:rsidRDefault="00A4348B" w:rsidP="00A4348B">
      <w:pPr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Растущий спрос на перспективных рынках продуктов глубокой переработки зерна, имеющих высокую добавленную стоимость.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В качестве наиболее перспективных направлений глубокой переработки зерна можно выделить несколько рынков.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Рынок аминокислот. По данным Росстата, в России объемы производства аминокислот, включающих кислородсодержащую функциональную группу, относительно стабильны и составляют в среднем 45 – 55 тыс. тонн ежегодно (более половины объема рынка аминокислот в России приходится на лизин). По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прогнозам маркетингового агентства </w:t>
      </w:r>
      <w:proofErr w:type="spellStart"/>
      <w:r w:rsidRPr="00D06618">
        <w:rPr>
          <w:kern w:val="2"/>
          <w:sz w:val="28"/>
          <w:szCs w:val="28"/>
        </w:rPr>
        <w:t>Reseach</w:t>
      </w:r>
      <w:proofErr w:type="spell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Techart</w:t>
      </w:r>
      <w:proofErr w:type="spellEnd"/>
      <w:r w:rsidRPr="00D06618">
        <w:rPr>
          <w:kern w:val="2"/>
          <w:sz w:val="28"/>
          <w:szCs w:val="28"/>
        </w:rPr>
        <w:t>, объем потребления аминокислот в среднесрочной перспективе будет увеличиваться ежегодно на 20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процентов.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lastRenderedPageBreak/>
        <w:t xml:space="preserve">Рынок глюкозы и глюкозно-фруктозных сиропов. Потенциальная потребность пищевой индустрии в глюкозно-фруктозных сиропах в наиболее привлекательных сегментах достигает, по оценкам Института «Центр развития» НИУ ВШЭ, около 5 </w:t>
      </w:r>
      <w:proofErr w:type="spellStart"/>
      <w:proofErr w:type="gramStart"/>
      <w:r w:rsidRPr="00D06618">
        <w:rPr>
          <w:kern w:val="2"/>
          <w:sz w:val="28"/>
          <w:szCs w:val="28"/>
        </w:rPr>
        <w:t>млн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тонн. Потребление глюкозно-фруктозных сиропов имеет потенциал для роста, что связано с развитием отраслей пищевой и фармацевтической промышленности.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Рынок крахмала и </w:t>
      </w:r>
      <w:proofErr w:type="spellStart"/>
      <w:r w:rsidRPr="00D06618">
        <w:rPr>
          <w:kern w:val="2"/>
          <w:sz w:val="28"/>
          <w:szCs w:val="28"/>
        </w:rPr>
        <w:t>крахмалопродуктов</w:t>
      </w:r>
      <w:proofErr w:type="spellEnd"/>
      <w:r w:rsidRPr="00D06618">
        <w:rPr>
          <w:kern w:val="2"/>
          <w:sz w:val="28"/>
          <w:szCs w:val="28"/>
        </w:rPr>
        <w:t xml:space="preserve">. Крахмалы используются во всех отраслях, в основном в качестве вспомогательного сырья, в том числе и в фармацевтической, химической, нефтегазовой отраслях, в литейном производстве. Объем потребления </w:t>
      </w:r>
      <w:proofErr w:type="spellStart"/>
      <w:r w:rsidRPr="00D06618">
        <w:rPr>
          <w:kern w:val="2"/>
          <w:sz w:val="28"/>
          <w:szCs w:val="28"/>
        </w:rPr>
        <w:t>крахмалопродуктов</w:t>
      </w:r>
      <w:proofErr w:type="spellEnd"/>
      <w:r w:rsidRPr="00D06618">
        <w:rPr>
          <w:kern w:val="2"/>
          <w:sz w:val="28"/>
          <w:szCs w:val="28"/>
        </w:rPr>
        <w:t xml:space="preserve"> в России в несколько раз ниже по сравнению с развитыми странами. По оценкам института «Центр развития» НИУ ВШЭ, потенциальная емкость рынка </w:t>
      </w:r>
      <w:proofErr w:type="spellStart"/>
      <w:r w:rsidRPr="00D06618">
        <w:rPr>
          <w:kern w:val="2"/>
          <w:sz w:val="28"/>
          <w:szCs w:val="28"/>
        </w:rPr>
        <w:t>крахмалопродуктов</w:t>
      </w:r>
      <w:proofErr w:type="spellEnd"/>
      <w:r w:rsidRPr="00D06618">
        <w:rPr>
          <w:kern w:val="2"/>
          <w:sz w:val="28"/>
          <w:szCs w:val="28"/>
        </w:rPr>
        <w:t xml:space="preserve"> при росте потребления до уровня ЕС составляет 5,9 </w:t>
      </w:r>
      <w:proofErr w:type="spellStart"/>
      <w:proofErr w:type="gramStart"/>
      <w:r w:rsidRPr="00D06618">
        <w:rPr>
          <w:kern w:val="2"/>
          <w:sz w:val="28"/>
          <w:szCs w:val="28"/>
        </w:rPr>
        <w:t>млн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тонн в год, до уровня США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– 8,8 </w:t>
      </w:r>
      <w:proofErr w:type="spellStart"/>
      <w:r w:rsidRPr="00D06618">
        <w:rPr>
          <w:kern w:val="2"/>
          <w:sz w:val="28"/>
          <w:szCs w:val="28"/>
        </w:rPr>
        <w:t>млн</w:t>
      </w:r>
      <w:proofErr w:type="spellEnd"/>
      <w:r w:rsidRPr="00D06618">
        <w:rPr>
          <w:kern w:val="2"/>
          <w:sz w:val="28"/>
          <w:szCs w:val="28"/>
        </w:rPr>
        <w:t xml:space="preserve"> тонн в год.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Рынок </w:t>
      </w:r>
      <w:proofErr w:type="spellStart"/>
      <w:r w:rsidRPr="00D06618">
        <w:rPr>
          <w:kern w:val="2"/>
          <w:sz w:val="28"/>
          <w:szCs w:val="28"/>
        </w:rPr>
        <w:t>биопластиков</w:t>
      </w:r>
      <w:proofErr w:type="spellEnd"/>
      <w:r w:rsidRPr="00D06618">
        <w:rPr>
          <w:kern w:val="2"/>
          <w:sz w:val="28"/>
          <w:szCs w:val="28"/>
        </w:rPr>
        <w:t xml:space="preserve">. Мировой рынок </w:t>
      </w:r>
      <w:proofErr w:type="spellStart"/>
      <w:r w:rsidRPr="00D06618">
        <w:rPr>
          <w:kern w:val="2"/>
          <w:sz w:val="28"/>
          <w:szCs w:val="28"/>
        </w:rPr>
        <w:t>биопластиков</w:t>
      </w:r>
      <w:proofErr w:type="spellEnd"/>
      <w:r w:rsidRPr="00D06618">
        <w:rPr>
          <w:kern w:val="2"/>
          <w:sz w:val="28"/>
          <w:szCs w:val="28"/>
        </w:rPr>
        <w:t xml:space="preserve"> (упаковка, пленка) демонстрирует ежегодный прирост на уровне 30 процентов и оценивается более чем в 2 </w:t>
      </w:r>
      <w:proofErr w:type="spellStart"/>
      <w:proofErr w:type="gramStart"/>
      <w:r w:rsidRPr="00D06618">
        <w:rPr>
          <w:kern w:val="2"/>
          <w:sz w:val="28"/>
          <w:szCs w:val="28"/>
        </w:rPr>
        <w:t>млн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тонн. В настоящее время во многих странах мира действует ряд законодательных ограничений и запретов на использование пластиковой упаковки из </w:t>
      </w:r>
      <w:proofErr w:type="spellStart"/>
      <w:r w:rsidRPr="00D06618">
        <w:rPr>
          <w:kern w:val="2"/>
          <w:sz w:val="28"/>
          <w:szCs w:val="28"/>
        </w:rPr>
        <w:t>невозобновляемого</w:t>
      </w:r>
      <w:proofErr w:type="spellEnd"/>
      <w:r w:rsidRPr="00D06618">
        <w:rPr>
          <w:kern w:val="2"/>
          <w:sz w:val="28"/>
          <w:szCs w:val="28"/>
        </w:rPr>
        <w:t xml:space="preserve"> сырья. По прогнозам Европейской ассоциации производителей </w:t>
      </w:r>
      <w:proofErr w:type="spellStart"/>
      <w:r w:rsidRPr="00D06618">
        <w:rPr>
          <w:kern w:val="2"/>
          <w:sz w:val="28"/>
          <w:szCs w:val="28"/>
        </w:rPr>
        <w:t>биопластиков</w:t>
      </w:r>
      <w:proofErr w:type="spell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European</w:t>
      </w:r>
      <w:proofErr w:type="spell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Bioplastics</w:t>
      </w:r>
      <w:proofErr w:type="spellEnd"/>
      <w:r w:rsidRPr="00D06618">
        <w:rPr>
          <w:kern w:val="2"/>
          <w:sz w:val="28"/>
          <w:szCs w:val="28"/>
        </w:rPr>
        <w:t>, в ближайшем будущем от 30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процентов до 90 процентов мирового производства полимеров может быть замещено пластиками, получаемыми из возобновляемого сырья.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2.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Растущий спрос на перспективных рынках продуктов глубокой переработки продукции животноводства.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В качестве наиболее перспективных направлений глубокой переработки продукции животноводства можно выделить следующие </w:t>
      </w:r>
      <w:proofErr w:type="spellStart"/>
      <w:r w:rsidRPr="00D06618">
        <w:rPr>
          <w:rFonts w:eastAsia="Calibri"/>
          <w:kern w:val="2"/>
          <w:sz w:val="28"/>
          <w:szCs w:val="28"/>
        </w:rPr>
        <w:t>подотрасли</w:t>
      </w:r>
      <w:proofErr w:type="spellEnd"/>
      <w:r w:rsidRPr="00D06618">
        <w:rPr>
          <w:rFonts w:eastAsia="Calibri"/>
          <w:kern w:val="2"/>
          <w:sz w:val="28"/>
          <w:szCs w:val="28"/>
        </w:rPr>
        <w:t>: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глубокая переработка мяса и мясного сырья: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использование крови на пищевые и кормовые цели;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 xml:space="preserve">получение </w:t>
      </w:r>
      <w:proofErr w:type="spellStart"/>
      <w:proofErr w:type="gramStart"/>
      <w:r w:rsidRPr="00D06618">
        <w:rPr>
          <w:rFonts w:eastAsia="Calibri"/>
          <w:kern w:val="2"/>
          <w:sz w:val="28"/>
          <w:szCs w:val="28"/>
        </w:rPr>
        <w:t>мясо-костной</w:t>
      </w:r>
      <w:proofErr w:type="spellEnd"/>
      <w:proofErr w:type="gramEnd"/>
      <w:r w:rsidRPr="00D06618">
        <w:rPr>
          <w:rFonts w:eastAsia="Calibri"/>
          <w:kern w:val="2"/>
          <w:sz w:val="28"/>
          <w:szCs w:val="28"/>
        </w:rPr>
        <w:t xml:space="preserve"> муки на кормовые цели;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переработка кости для получения животного жира;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переработка вторичного сырья для получения пищевых продуктов (колбасных изделий), а также на кормовые цели.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Глубокая переработка продукции птицеводства: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глубокая переработка яйца с получением полуфабрикатов (яичный белок, яичный меланж, яичный порошок, продукты быстрой заморозки), применяемых в колбасном производстве и общественном питании;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переработка пера птицы – применение ферментативного способа обработки пера позволяет получить препараты белка с полным набором незаменимых аминокислот.</w:t>
      </w:r>
    </w:p>
    <w:p w:rsidR="00A4348B" w:rsidRPr="00D06618" w:rsidRDefault="00A4348B" w:rsidP="00A4348B">
      <w:pPr>
        <w:tabs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Глубокая переработка молока и отходов молочной промышленности: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переработка сыворотки (</w:t>
      </w:r>
      <w:r w:rsidRPr="00D06618">
        <w:rPr>
          <w:rFonts w:eastAsiaTheme="minorEastAsia"/>
          <w:kern w:val="2"/>
          <w:sz w:val="28"/>
          <w:szCs w:val="28"/>
        </w:rPr>
        <w:t>в том числе</w:t>
      </w:r>
      <w:r w:rsidRPr="00D06618">
        <w:rPr>
          <w:rFonts w:eastAsia="Calibri"/>
          <w:kern w:val="2"/>
          <w:sz w:val="28"/>
          <w:szCs w:val="28"/>
        </w:rPr>
        <w:t xml:space="preserve"> до уровня получения молочного сахара, </w:t>
      </w:r>
      <w:proofErr w:type="spellStart"/>
      <w:r w:rsidRPr="00D06618">
        <w:rPr>
          <w:rFonts w:eastAsia="Calibri"/>
          <w:kern w:val="2"/>
          <w:sz w:val="28"/>
          <w:szCs w:val="28"/>
        </w:rPr>
        <w:t>гидролизатов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молочного жира и белка, производных лактозы);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получение функциональных напитков из отходов молочной промышленности;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lastRenderedPageBreak/>
        <w:t>получение молочных продуктов, применяемых в колбасном производстве.</w:t>
      </w:r>
    </w:p>
    <w:p w:rsidR="00A4348B" w:rsidRPr="00D06618" w:rsidRDefault="00A4348B" w:rsidP="00A4348B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3. Развитие «умного» сельского хозяйства.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«Умное» сельское хозяйство – это концепция, которая основана на использовании сельскохозяйственными товаропроизводителями различных инновационных цифровых решений, позволяющих максимально автоматизировать сельскохозяйственную деятельность, повысить урожайность и улучшить финансовые показатели.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По оценкам экспертов, цифровые решения в АПК (спутники, датчики, сенсоры на технике, данные торговых площадок, платформы сбора данных о полях, системы распознавания заболеваний растений, интеллектуальные ирригационные системы и прочее оборудование) позволят передовым участникам рынка получать на 20 – 50 процентов больше валовой прибыли, чем «традиционные» хозяйства.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К концу 2016 года мировой рынок интеллектуальных </w:t>
      </w:r>
      <w:r w:rsidRPr="00A83280">
        <w:rPr>
          <w:spacing w:val="-2"/>
          <w:kern w:val="2"/>
          <w:sz w:val="28"/>
          <w:szCs w:val="28"/>
        </w:rPr>
        <w:t xml:space="preserve">сельскохозяйственных решений оценивался примерно в 13 </w:t>
      </w:r>
      <w:proofErr w:type="spellStart"/>
      <w:proofErr w:type="gramStart"/>
      <w:r w:rsidRPr="00A83280">
        <w:rPr>
          <w:spacing w:val="-2"/>
          <w:kern w:val="2"/>
          <w:sz w:val="28"/>
          <w:szCs w:val="28"/>
        </w:rPr>
        <w:t>млрд</w:t>
      </w:r>
      <w:proofErr w:type="spellEnd"/>
      <w:proofErr w:type="gramEnd"/>
      <w:r w:rsidRPr="00A83280">
        <w:rPr>
          <w:spacing w:val="-2"/>
          <w:kern w:val="2"/>
          <w:sz w:val="28"/>
          <w:szCs w:val="28"/>
        </w:rPr>
        <w:t xml:space="preserve"> долларов США –</w:t>
      </w:r>
      <w:r w:rsidRPr="00D06618">
        <w:rPr>
          <w:kern w:val="2"/>
          <w:sz w:val="28"/>
          <w:szCs w:val="28"/>
        </w:rPr>
        <w:t xml:space="preserve"> по сравнению с 2015 годом рынок вырос почти на 5 процентов. Ожидается, что к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2026 году объем рынка достигнет около 40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долларов США. По оценкам аналитической организации </w:t>
      </w:r>
      <w:proofErr w:type="spellStart"/>
      <w:r w:rsidRPr="00D06618">
        <w:rPr>
          <w:kern w:val="2"/>
          <w:sz w:val="28"/>
          <w:szCs w:val="28"/>
        </w:rPr>
        <w:t>Future</w:t>
      </w:r>
      <w:proofErr w:type="spell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Market</w:t>
      </w:r>
      <w:proofErr w:type="spell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Insights</w:t>
      </w:r>
      <w:proofErr w:type="spellEnd"/>
      <w:r w:rsidRPr="00D06618">
        <w:rPr>
          <w:kern w:val="2"/>
          <w:sz w:val="28"/>
          <w:szCs w:val="28"/>
        </w:rPr>
        <w:t>, среднегодовой темп роста данного рынка в ближайшие годы будет составлять 11,2 процента.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D06618">
        <w:rPr>
          <w:kern w:val="2"/>
          <w:sz w:val="28"/>
          <w:szCs w:val="28"/>
        </w:rPr>
        <w:t xml:space="preserve">В целом к «умному» сельскому хозяйству относят беспилотную сельскохозяйственную технику (в частности, беспилотные комбайны, работающие с использованием нейронных сетей), дистанционное зондирование земли с помощью </w:t>
      </w:r>
      <w:proofErr w:type="spellStart"/>
      <w:r w:rsidRPr="00D06618">
        <w:rPr>
          <w:kern w:val="2"/>
          <w:sz w:val="28"/>
          <w:szCs w:val="28"/>
        </w:rPr>
        <w:t>космоснимков</w:t>
      </w:r>
      <w:proofErr w:type="spellEnd"/>
      <w:r w:rsidRPr="00D06618">
        <w:rPr>
          <w:kern w:val="2"/>
          <w:sz w:val="28"/>
          <w:szCs w:val="28"/>
        </w:rPr>
        <w:t>, беспилотные летательные аппараты (</w:t>
      </w:r>
      <w:proofErr w:type="spellStart"/>
      <w:r w:rsidRPr="00D06618">
        <w:rPr>
          <w:kern w:val="2"/>
          <w:sz w:val="28"/>
          <w:szCs w:val="28"/>
        </w:rPr>
        <w:t>дроны</w:t>
      </w:r>
      <w:proofErr w:type="spellEnd"/>
      <w:r w:rsidRPr="00D06618">
        <w:rPr>
          <w:kern w:val="2"/>
          <w:sz w:val="28"/>
          <w:szCs w:val="28"/>
        </w:rPr>
        <w:t xml:space="preserve"> для дистанционного зондирования полей и дальнейшего планирования посевов и сбора урожая), датчики и сенсоры, навигационные спутниковые системы (ГЛОНАСС/GPS), IoT-платформы и так далее.</w:t>
      </w:r>
      <w:proofErr w:type="gramEnd"/>
    </w:p>
    <w:p w:rsidR="00A4348B" w:rsidRPr="00D06618" w:rsidRDefault="00A4348B" w:rsidP="00A4348B">
      <w:pPr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Система целей и механизм реализации.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Динамические цели.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1. Рост объема производства валовой продукции сельского хозяйства.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Индикатор 1. Объем производства валовой продукции сельского хозяйства: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2017 год – 256,6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2024 год – 394,3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(рост в 1,5 раза);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2030 год – 503,5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(рост в 2,0 раза).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Индикатор 2. Индекс производства продукции сельского хозяйства: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2017 год – 107,0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2024 год – 101,8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2030 год – 101,9 процента.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2. Рост объема отгруженной продукции пищевой промышленности.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Индикатор 3. Объем отгруженной продукции пищевой промышленности: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2017 год – 140,4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2024 год – 170,0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(рост в 1,2 раза);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lastRenderedPageBreak/>
        <w:t xml:space="preserve">2030 год – 210,0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(рост в 1,5 раза).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Индикатор 4. Индекс производства пищевых продуктов: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2017 год – 100,1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2024 год – 100,2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2030 год – 100,2 процента.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Структурные цели.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1. Увеличение доли животноводства в структуре сельского хозяйства.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Индикатор 5. Доля животноводства в структуре сельского хозяйства: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2017 год – 28,8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2024 год – до 29,0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2030 год – до 33,0 процента.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Увеличение доли сельскохозяйственной продукции глубокой переработки.</w:t>
      </w:r>
    </w:p>
    <w:p w:rsidR="00A4348B" w:rsidRPr="00D06618" w:rsidRDefault="00A4348B" w:rsidP="00A4348B">
      <w:pPr>
        <w:tabs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Индикатор 6. Доля сельскохозяйственной продукции глубокой переработки: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2016 год – 2,0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2024 год – до 5,0 процента;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2030 год – до 8,0 процента.</w:t>
      </w:r>
    </w:p>
    <w:p w:rsidR="00A4348B" w:rsidRPr="00D06618" w:rsidRDefault="00A4348B" w:rsidP="00A4348B">
      <w:pPr>
        <w:tabs>
          <w:tab w:val="left" w:pos="1134"/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Приоритетные задачи и мероприятия.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Задача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1.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Повышение доступности финансовых ресурсов для сельхозпроизводителей.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1.1.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Возмещение затрат коммерческих банков на предоставление сельхозпроизводителям кредитов по льготной ставке.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1.2.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Административная</w:t>
      </w:r>
      <w:r w:rsidRPr="00D06618">
        <w:rPr>
          <w:kern w:val="2"/>
          <w:sz w:val="28"/>
          <w:szCs w:val="28"/>
        </w:rPr>
        <w:t xml:space="preserve"> поддержка доступа к займам и кредитам.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Задача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Повышение уровня технической оснащенности сельскохозяйственного производства.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2.1.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Субсидирование части затрат на модернизацию производства и приобретение сельскохозяйственной техники.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 2.2. Развитие системы пропаганды применения современной ресурсосберегающей</w:t>
      </w:r>
      <w:r w:rsidRPr="00D06618">
        <w:rPr>
          <w:kern w:val="2"/>
          <w:sz w:val="28"/>
          <w:szCs w:val="28"/>
        </w:rPr>
        <w:t xml:space="preserve"> сельскохозяйственной техники.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Задача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3.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Развитие системы продвижения региональной сельскохозяйственной продукции.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3.1.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Развитие системы добровольной сертификации «Сделано на Дону».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 3.2. Развитие системы сельской кооперации.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3.3.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Организация региональных выставочно-ярмарочных мероприятий.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3.4.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Поддержка</w:t>
      </w:r>
      <w:r w:rsidRPr="00D06618">
        <w:rPr>
          <w:kern w:val="2"/>
          <w:sz w:val="28"/>
          <w:szCs w:val="28"/>
        </w:rPr>
        <w:t xml:space="preserve"> экспансии донских производителей на внешние рынки.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Задача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Снижение рисков производства сельскохозяйственной продукции.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4.1.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Развитие системы прогнозирования климатических факторов.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lastRenderedPageBreak/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4.2.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Развитие системы предупреждения неблагоприятных эпизоотических ситуаций.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4.3.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Развитие системы сохранения и воспроизводства плодородия почв сельскохозяйственных угодий, что позволит увеличить средневзвешенное содержание подвижного фосфора в почвах Ростовской области до 26,0 мг/кг к 2024 году и до 28,0 мг/кг – к 2030 году.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4.4.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Проведение ежегодного регионального </w:t>
      </w:r>
      <w:proofErr w:type="gramStart"/>
      <w:r w:rsidRPr="00D06618">
        <w:rPr>
          <w:kern w:val="2"/>
          <w:sz w:val="28"/>
          <w:szCs w:val="28"/>
        </w:rPr>
        <w:t>исследования доли отдельных видов продукции областных производителей</w:t>
      </w:r>
      <w:proofErr w:type="gramEnd"/>
      <w:r w:rsidRPr="00D06618">
        <w:rPr>
          <w:kern w:val="2"/>
          <w:sz w:val="28"/>
          <w:szCs w:val="28"/>
        </w:rPr>
        <w:t xml:space="preserve"> в общем объеме реализации аналогичной продукции в розничной торговой сети.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Задача 5. </w:t>
      </w:r>
      <w:proofErr w:type="gramStart"/>
      <w:r w:rsidRPr="00D06618">
        <w:rPr>
          <w:kern w:val="2"/>
          <w:sz w:val="28"/>
          <w:szCs w:val="28"/>
        </w:rPr>
        <w:t>Комплексная</w:t>
      </w:r>
      <w:proofErr w:type="gramEnd"/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агролесомелиорация</w:t>
      </w:r>
      <w:proofErr w:type="spellEnd"/>
      <w:r w:rsidRPr="00D06618">
        <w:rPr>
          <w:kern w:val="2"/>
          <w:sz w:val="28"/>
          <w:szCs w:val="28"/>
        </w:rPr>
        <w:t xml:space="preserve"> сельскохозяйственных земель.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5.1.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Администрирование текущего состояния лесных насаждений.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 5.2. Восстановление и развитие ирригационных систем.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 5.3. Создание мелиоративных парков.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Задача 6. Привлечение новых инвестиций в АПК региона.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6.1.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Развитие</w:t>
      </w:r>
      <w:r w:rsidRPr="00D06618">
        <w:rPr>
          <w:kern w:val="2"/>
          <w:sz w:val="28"/>
          <w:szCs w:val="28"/>
        </w:rPr>
        <w:t xml:space="preserve"> системы долгосрочных гарантированных региональных льгот и преференций.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 6.2. Создание</w:t>
      </w:r>
      <w:r w:rsidRPr="00D06618">
        <w:rPr>
          <w:kern w:val="2"/>
          <w:sz w:val="28"/>
          <w:szCs w:val="28"/>
        </w:rPr>
        <w:t xml:space="preserve"> </w:t>
      </w:r>
      <w:proofErr w:type="spellStart"/>
      <w:r w:rsidRPr="00D06618">
        <w:rPr>
          <w:kern w:val="2"/>
          <w:sz w:val="28"/>
          <w:szCs w:val="28"/>
        </w:rPr>
        <w:t>агроиндустриальных</w:t>
      </w:r>
      <w:proofErr w:type="spellEnd"/>
      <w:r w:rsidRPr="00D06618">
        <w:rPr>
          <w:kern w:val="2"/>
          <w:sz w:val="28"/>
          <w:szCs w:val="28"/>
        </w:rPr>
        <w:t xml:space="preserve"> парков с преференциями для резидентов.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Задача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7.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 xml:space="preserve">Создание и развитие инженерной и </w:t>
      </w:r>
      <w:proofErr w:type="spellStart"/>
      <w:r w:rsidRPr="00D06618">
        <w:rPr>
          <w:rFonts w:eastAsia="Calibri"/>
          <w:kern w:val="2"/>
          <w:sz w:val="28"/>
          <w:szCs w:val="28"/>
        </w:rPr>
        <w:t>логистической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инфраструктуры АПК.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7.1.</w:t>
      </w:r>
      <w:r>
        <w:rPr>
          <w:rFonts w:eastAsiaTheme="minorEastAsia"/>
          <w:kern w:val="2"/>
          <w:sz w:val="28"/>
          <w:szCs w:val="28"/>
        </w:rPr>
        <w:t> </w:t>
      </w:r>
      <w:r w:rsidRPr="00D06618">
        <w:rPr>
          <w:rFonts w:eastAsiaTheme="minorEastAsia"/>
          <w:kern w:val="2"/>
          <w:sz w:val="28"/>
          <w:szCs w:val="28"/>
        </w:rPr>
        <w:t>Субсидирование части затрат на строительство инфраструктуры.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Theme="minorEastAsia"/>
          <w:kern w:val="2"/>
          <w:sz w:val="28"/>
          <w:szCs w:val="28"/>
        </w:rPr>
        <w:t>Мероприятие 7.2. Испо</w:t>
      </w:r>
      <w:r w:rsidRPr="00D06618">
        <w:rPr>
          <w:kern w:val="2"/>
          <w:sz w:val="28"/>
          <w:szCs w:val="28"/>
        </w:rPr>
        <w:t>льзование инструмента инфраструктурной ипотеки.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Задача 8. Обеспечение устойчивости </w:t>
      </w:r>
      <w:proofErr w:type="spellStart"/>
      <w:r w:rsidRPr="00D06618">
        <w:rPr>
          <w:kern w:val="2"/>
          <w:sz w:val="28"/>
          <w:szCs w:val="28"/>
        </w:rPr>
        <w:t>рыбохозяйственного</w:t>
      </w:r>
      <w:proofErr w:type="spellEnd"/>
      <w:r w:rsidRPr="00D06618">
        <w:rPr>
          <w:kern w:val="2"/>
          <w:sz w:val="28"/>
          <w:szCs w:val="28"/>
        </w:rPr>
        <w:t xml:space="preserve"> комплекса.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Мероприятие 8.1. Расширение видового состава выращиваемых объектов </w:t>
      </w:r>
      <w:proofErr w:type="spellStart"/>
      <w:r w:rsidRPr="00D06618">
        <w:rPr>
          <w:kern w:val="2"/>
          <w:sz w:val="28"/>
          <w:szCs w:val="28"/>
        </w:rPr>
        <w:t>аквакультуры</w:t>
      </w:r>
      <w:proofErr w:type="spellEnd"/>
      <w:r w:rsidRPr="00D06618">
        <w:rPr>
          <w:kern w:val="2"/>
          <w:sz w:val="28"/>
          <w:szCs w:val="28"/>
        </w:rPr>
        <w:t>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 8.2.</w:t>
      </w:r>
      <w:r w:rsidRPr="00D06618">
        <w:rPr>
          <w:rFonts w:eastAsiaTheme="minorEastAsia"/>
          <w:kern w:val="2"/>
          <w:sz w:val="28"/>
          <w:szCs w:val="28"/>
        </w:rPr>
        <w:t xml:space="preserve"> </w:t>
      </w:r>
      <w:r w:rsidRPr="00D06618">
        <w:rPr>
          <w:kern w:val="2"/>
          <w:sz w:val="28"/>
          <w:szCs w:val="28"/>
        </w:rPr>
        <w:t>Зарыбление естественных водоемов с целью пополнения рыбных запасов и увеличения объемов добычи (вылова) водных биоресурсов.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Мероприятие 8.3. Наращивание </w:t>
      </w:r>
      <w:proofErr w:type="spellStart"/>
      <w:r w:rsidRPr="00D06618">
        <w:rPr>
          <w:kern w:val="2"/>
          <w:sz w:val="28"/>
          <w:szCs w:val="28"/>
        </w:rPr>
        <w:t>рыбоперерабатывающих</w:t>
      </w:r>
      <w:proofErr w:type="spellEnd"/>
      <w:r w:rsidRPr="00D06618">
        <w:rPr>
          <w:kern w:val="2"/>
          <w:sz w:val="28"/>
          <w:szCs w:val="28"/>
        </w:rPr>
        <w:t xml:space="preserve"> мощностей.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Задача 9. Научное обеспечение агропромышленного комплекса.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 9.1. Проведение областных мероприятий, направленных на демонстрацию и тиражирование научных разработок и инноваций.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 9.2. Создание каталога научных разработок с контактными данными авторов.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Задача 10. Кадровое обеспечение агропромышленного комплекса.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10.1.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Проведение мероприятий, направленных на закрепление молодых специалистов на селе.</w:t>
      </w:r>
    </w:p>
    <w:p w:rsidR="00A4348B" w:rsidRPr="00D06618" w:rsidRDefault="00A4348B" w:rsidP="00A4348B">
      <w:pPr>
        <w:tabs>
          <w:tab w:val="left" w:pos="42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Мероприятие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10.2.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Проведение мероприятий, направленных на популяризацию сельскохозяйственных профессий.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Стратегическая проектная инициатива 1 «Ростовская область – </w:t>
      </w:r>
      <w:proofErr w:type="spellStart"/>
      <w:r w:rsidRPr="00D06618">
        <w:rPr>
          <w:kern w:val="2"/>
          <w:sz w:val="28"/>
          <w:szCs w:val="28"/>
        </w:rPr>
        <w:t>агроиндустриальный</w:t>
      </w:r>
      <w:proofErr w:type="spellEnd"/>
      <w:r w:rsidRPr="00D06618">
        <w:rPr>
          <w:kern w:val="2"/>
          <w:sz w:val="28"/>
          <w:szCs w:val="28"/>
        </w:rPr>
        <w:t xml:space="preserve"> полюс России»</w:t>
      </w:r>
    </w:p>
    <w:p w:rsidR="00A4348B" w:rsidRPr="00D06618" w:rsidRDefault="00A4348B" w:rsidP="00A4348B">
      <w:pPr>
        <w:tabs>
          <w:tab w:val="left" w:pos="1134"/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lastRenderedPageBreak/>
        <w:t>Возможности: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стать одним из лидеров в России по производству продукции глубокой переработки зерновых и масличных культур;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стать одним из лидеров в России по развитию животноводства (птицеводство, мясное животноводство);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стать одним из лидеров в России по внедрению «умного» земледелия.</w:t>
      </w:r>
    </w:p>
    <w:p w:rsidR="00A4348B" w:rsidRPr="00D06618" w:rsidRDefault="00A4348B" w:rsidP="00A4348B">
      <w:pPr>
        <w:tabs>
          <w:tab w:val="left" w:pos="1134"/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Основные параметры:</w:t>
      </w:r>
    </w:p>
    <w:p w:rsidR="00A4348B" w:rsidRPr="00D06618" w:rsidRDefault="00A4348B" w:rsidP="00A4348B">
      <w:pPr>
        <w:tabs>
          <w:tab w:val="left" w:pos="1134"/>
          <w:tab w:val="left" w:pos="1276"/>
        </w:tabs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1. Переработка зерновых и зернобобовых культур.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Создание современных, высокотехнологичных предприятий с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локализацией преимущественно в </w:t>
      </w:r>
      <w:proofErr w:type="spellStart"/>
      <w:r w:rsidRPr="00D06618">
        <w:rPr>
          <w:kern w:val="2"/>
          <w:sz w:val="28"/>
          <w:szCs w:val="28"/>
        </w:rPr>
        <w:t>агроиндустриальных</w:t>
      </w:r>
      <w:proofErr w:type="spellEnd"/>
      <w:r w:rsidRPr="00D06618">
        <w:rPr>
          <w:kern w:val="2"/>
          <w:sz w:val="28"/>
          <w:szCs w:val="28"/>
        </w:rPr>
        <w:t xml:space="preserve"> полюсах роста (</w:t>
      </w:r>
      <w:proofErr w:type="spellStart"/>
      <w:r w:rsidRPr="00D06618">
        <w:rPr>
          <w:kern w:val="2"/>
          <w:sz w:val="28"/>
          <w:szCs w:val="28"/>
        </w:rPr>
        <w:t>Сальский</w:t>
      </w:r>
      <w:proofErr w:type="spellEnd"/>
      <w:r w:rsidRPr="00D06618">
        <w:rPr>
          <w:kern w:val="2"/>
          <w:sz w:val="28"/>
          <w:szCs w:val="28"/>
        </w:rPr>
        <w:t>, Миллеровский, Морозовский).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1.2. Создание </w:t>
      </w:r>
      <w:proofErr w:type="spellStart"/>
      <w:r w:rsidRPr="00D06618">
        <w:rPr>
          <w:kern w:val="2"/>
          <w:sz w:val="28"/>
          <w:szCs w:val="28"/>
        </w:rPr>
        <w:t>биокластеров</w:t>
      </w:r>
      <w:proofErr w:type="spellEnd"/>
      <w:r w:rsidRPr="00D06618">
        <w:rPr>
          <w:kern w:val="2"/>
          <w:sz w:val="28"/>
          <w:szCs w:val="28"/>
        </w:rPr>
        <w:t xml:space="preserve"> на базе заводов по глубокой переработке зерна.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1.3.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Стартовые проекты: ООО «</w:t>
      </w:r>
      <w:proofErr w:type="spellStart"/>
      <w:r w:rsidRPr="00D06618">
        <w:rPr>
          <w:kern w:val="2"/>
          <w:sz w:val="28"/>
          <w:szCs w:val="28"/>
        </w:rPr>
        <w:t>ДонБиоТех</w:t>
      </w:r>
      <w:proofErr w:type="spellEnd"/>
      <w:r w:rsidRPr="00D06618">
        <w:rPr>
          <w:kern w:val="2"/>
          <w:sz w:val="28"/>
          <w:szCs w:val="28"/>
        </w:rPr>
        <w:t xml:space="preserve">»: «Строительство производственного комплекса по глубокой переработке зерна, производству комбикормов, </w:t>
      </w:r>
      <w:proofErr w:type="spellStart"/>
      <w:r w:rsidRPr="00D06618">
        <w:rPr>
          <w:kern w:val="2"/>
          <w:sz w:val="28"/>
          <w:szCs w:val="28"/>
        </w:rPr>
        <w:t>глютена</w:t>
      </w:r>
      <w:proofErr w:type="spellEnd"/>
      <w:r w:rsidRPr="00D06618">
        <w:rPr>
          <w:kern w:val="2"/>
          <w:sz w:val="28"/>
          <w:szCs w:val="28"/>
        </w:rPr>
        <w:t xml:space="preserve"> и аминокислот мощностью 250 тыс. тонн зерна в год», год реализации – 2019, инвестиции – 15,2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рублей; ООО «</w:t>
      </w:r>
      <w:proofErr w:type="spellStart"/>
      <w:r w:rsidRPr="00D06618">
        <w:rPr>
          <w:kern w:val="2"/>
          <w:sz w:val="28"/>
          <w:szCs w:val="28"/>
        </w:rPr>
        <w:t>Амилко</w:t>
      </w:r>
      <w:proofErr w:type="spellEnd"/>
      <w:r w:rsidRPr="00D06618">
        <w:rPr>
          <w:kern w:val="2"/>
          <w:sz w:val="28"/>
          <w:szCs w:val="28"/>
        </w:rPr>
        <w:t xml:space="preserve">»: увеличение мощности по переработке до 400 тыс. тонн кукурузы в год, год реализации – 2020, инвестиции – 4,4 </w:t>
      </w:r>
      <w:proofErr w:type="spellStart"/>
      <w:r w:rsidRPr="00D06618">
        <w:rPr>
          <w:kern w:val="2"/>
          <w:sz w:val="28"/>
          <w:szCs w:val="28"/>
        </w:rPr>
        <w:t>млрд</w:t>
      </w:r>
      <w:proofErr w:type="spellEnd"/>
      <w:r w:rsidRPr="00D06618">
        <w:rPr>
          <w:kern w:val="2"/>
          <w:sz w:val="28"/>
          <w:szCs w:val="28"/>
        </w:rPr>
        <w:t xml:space="preserve"> рублей.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 Птицеводство.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2.1.</w:t>
      </w:r>
      <w:r>
        <w:rPr>
          <w:kern w:val="2"/>
          <w:sz w:val="28"/>
          <w:szCs w:val="28"/>
        </w:rPr>
        <w:t> </w:t>
      </w:r>
      <w:proofErr w:type="gramStart"/>
      <w:r w:rsidRPr="00D06618">
        <w:rPr>
          <w:kern w:val="2"/>
          <w:sz w:val="28"/>
          <w:szCs w:val="28"/>
        </w:rPr>
        <w:t>Производство мяса птицы (мясных кур, индейки и утки) и пищевых яиц в промышленных масштабах, рост объемов ежегодной отгрузки к 2030 году: индейки – до 210 тыс. тонн, утки – до 30 тыс. тонн, мяса кур – до 100 тыс. тонн.</w:t>
      </w:r>
      <w:proofErr w:type="gramEnd"/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2.2. Объем инвестиций – не менее 70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к 2030 году.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2.3. Создание не менее 2 000 рабочих мест.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2.4.</w:t>
      </w:r>
      <w:r>
        <w:rPr>
          <w:kern w:val="2"/>
          <w:sz w:val="28"/>
          <w:szCs w:val="28"/>
        </w:rPr>
        <w:t> </w:t>
      </w:r>
      <w:proofErr w:type="gramStart"/>
      <w:r w:rsidRPr="00D06618">
        <w:rPr>
          <w:kern w:val="2"/>
          <w:sz w:val="28"/>
          <w:szCs w:val="28"/>
        </w:rPr>
        <w:t>Выход на перспективные внешние рынки: государства Ближнего Востока (Бахрейн, Иран, Ирак и другие), азиатские рынки (Китай, страны Юго-Восточной Азии, Япония, Южная Корея), Африка (Конго, ЮАР, Нигерия) и СНГ.</w:t>
      </w:r>
      <w:proofErr w:type="gramEnd"/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2.5.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Увеличение экспорта товарной группы «Мясо и пищевые субпродукты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домашней птицы» до 27 </w:t>
      </w:r>
      <w:proofErr w:type="spellStart"/>
      <w:proofErr w:type="gramStart"/>
      <w:r w:rsidRPr="00D06618">
        <w:rPr>
          <w:kern w:val="2"/>
          <w:sz w:val="28"/>
          <w:szCs w:val="28"/>
        </w:rPr>
        <w:t>млн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долларов США к 2030 году (2017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год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– 10,89 </w:t>
      </w:r>
      <w:proofErr w:type="spellStart"/>
      <w:r w:rsidRPr="00D06618">
        <w:rPr>
          <w:kern w:val="2"/>
          <w:sz w:val="28"/>
          <w:szCs w:val="28"/>
        </w:rPr>
        <w:t>млн</w:t>
      </w:r>
      <w:proofErr w:type="spellEnd"/>
      <w:r w:rsidRPr="00D06618">
        <w:rPr>
          <w:kern w:val="2"/>
          <w:sz w:val="28"/>
          <w:szCs w:val="28"/>
        </w:rPr>
        <w:t xml:space="preserve"> долларов США).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2.6.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Создание специализированного селекционного центра с целью развития породного генофонда.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2.7.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Стартовые проекты: ООО «</w:t>
      </w:r>
      <w:proofErr w:type="spellStart"/>
      <w:r w:rsidRPr="00D06618">
        <w:rPr>
          <w:kern w:val="2"/>
          <w:sz w:val="28"/>
          <w:szCs w:val="28"/>
        </w:rPr>
        <w:t>Евродон-Юг</w:t>
      </w:r>
      <w:proofErr w:type="spellEnd"/>
      <w:r w:rsidRPr="00D06618">
        <w:rPr>
          <w:kern w:val="2"/>
          <w:sz w:val="28"/>
          <w:szCs w:val="28"/>
        </w:rPr>
        <w:t xml:space="preserve">» – проект «Создание промышленного комплекса по выращиванию индейки мощностью по производству, переработке и реализации 60 тыс. тонн мяса индейки в живом весе в год», год реализации – 2020, инвестиции – 17,9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3. Молочное животноводство.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3.1. Устойчивое наращивание производства товарного молока.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3.2.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Объем производства товарного молока: 208 тыс. тонн молока в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2024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>году, 233 тыс. тонн – в 2030 году.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D06618">
        <w:rPr>
          <w:rFonts w:eastAsia="Calibri"/>
          <w:kern w:val="2"/>
          <w:sz w:val="28"/>
          <w:szCs w:val="28"/>
        </w:rPr>
        <w:t>3.3.</w:t>
      </w:r>
      <w:r>
        <w:rPr>
          <w:rFonts w:eastAsia="Calibri"/>
          <w:kern w:val="2"/>
          <w:sz w:val="28"/>
          <w:szCs w:val="28"/>
        </w:rPr>
        <w:t> </w:t>
      </w:r>
      <w:r w:rsidRPr="00D06618">
        <w:rPr>
          <w:rFonts w:eastAsia="Calibri"/>
          <w:kern w:val="2"/>
          <w:sz w:val="28"/>
          <w:szCs w:val="28"/>
        </w:rPr>
        <w:t xml:space="preserve">Стартовые проекты: АО фирма «Агрокомплекс» им. Н.И. Ткачева «Строительство молочного комплекса «Жуковский» на 2,8 тыс. голов дойного </w:t>
      </w:r>
      <w:r w:rsidRPr="00D06618">
        <w:rPr>
          <w:rFonts w:eastAsia="Calibri"/>
          <w:kern w:val="2"/>
          <w:sz w:val="28"/>
          <w:szCs w:val="28"/>
        </w:rPr>
        <w:lastRenderedPageBreak/>
        <w:t xml:space="preserve">стада», год реализации – 2020, инвестиции – 2,9 </w:t>
      </w:r>
      <w:proofErr w:type="spellStart"/>
      <w:proofErr w:type="gramStart"/>
      <w:r w:rsidRPr="00D06618">
        <w:rPr>
          <w:rFonts w:eastAsia="Calibri"/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rFonts w:eastAsia="Calibri"/>
          <w:kern w:val="2"/>
          <w:sz w:val="28"/>
          <w:szCs w:val="28"/>
        </w:rPr>
        <w:t xml:space="preserve"> рублей; АО «Донское молоко» на 500 голов дойного стада, год реализации – 2020, инвестиции – 0,5</w:t>
      </w:r>
      <w:r>
        <w:rPr>
          <w:rFonts w:eastAsia="Calibri"/>
          <w:kern w:val="2"/>
          <w:sz w:val="28"/>
          <w:szCs w:val="28"/>
        </w:rPr>
        <w:t> </w:t>
      </w:r>
      <w:proofErr w:type="spellStart"/>
      <w:r w:rsidRPr="00D06618">
        <w:rPr>
          <w:rFonts w:eastAsia="Calibri"/>
          <w:kern w:val="2"/>
          <w:sz w:val="28"/>
          <w:szCs w:val="28"/>
        </w:rPr>
        <w:t>млрд</w:t>
      </w:r>
      <w:proofErr w:type="spellEnd"/>
      <w:r w:rsidRPr="00D06618">
        <w:rPr>
          <w:rFonts w:eastAsia="Calibri"/>
          <w:kern w:val="2"/>
          <w:sz w:val="28"/>
          <w:szCs w:val="28"/>
        </w:rPr>
        <w:t xml:space="preserve"> рублей.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 Мясное животноводство.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4.1.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Создание мясного кластера на базе мясоперерабатывающих комплексов и перерабатывающих кооперативов Ростовской области (сеть мясоперерабатывающих комплексов, племенных организаций, откормочных площадок).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4.2. Локализация проектов – в северо-восточной (</w:t>
      </w:r>
      <w:proofErr w:type="spellStart"/>
      <w:r w:rsidRPr="00D06618">
        <w:rPr>
          <w:kern w:val="2"/>
          <w:sz w:val="28"/>
          <w:szCs w:val="28"/>
        </w:rPr>
        <w:t>Кашарский</w:t>
      </w:r>
      <w:proofErr w:type="spellEnd"/>
      <w:r w:rsidRPr="00D06618">
        <w:rPr>
          <w:kern w:val="2"/>
          <w:sz w:val="28"/>
          <w:szCs w:val="28"/>
        </w:rPr>
        <w:t xml:space="preserve"> район) и юго-восточной </w:t>
      </w:r>
      <w:proofErr w:type="gramStart"/>
      <w:r w:rsidRPr="00D06618">
        <w:rPr>
          <w:kern w:val="2"/>
          <w:sz w:val="28"/>
          <w:szCs w:val="28"/>
        </w:rPr>
        <w:t>частях</w:t>
      </w:r>
      <w:proofErr w:type="gramEnd"/>
      <w:r w:rsidRPr="00D06618">
        <w:rPr>
          <w:kern w:val="2"/>
          <w:sz w:val="28"/>
          <w:szCs w:val="28"/>
        </w:rPr>
        <w:t xml:space="preserve"> области (</w:t>
      </w:r>
      <w:proofErr w:type="spellStart"/>
      <w:r w:rsidRPr="00D06618">
        <w:rPr>
          <w:kern w:val="2"/>
          <w:sz w:val="28"/>
          <w:szCs w:val="28"/>
        </w:rPr>
        <w:t>Дубовский</w:t>
      </w:r>
      <w:proofErr w:type="spellEnd"/>
      <w:r w:rsidRPr="00D06618">
        <w:rPr>
          <w:kern w:val="2"/>
          <w:sz w:val="28"/>
          <w:szCs w:val="28"/>
        </w:rPr>
        <w:t xml:space="preserve">, </w:t>
      </w:r>
      <w:proofErr w:type="spellStart"/>
      <w:r w:rsidRPr="00D06618">
        <w:rPr>
          <w:kern w:val="2"/>
          <w:sz w:val="28"/>
          <w:szCs w:val="28"/>
        </w:rPr>
        <w:t>Заветинский</w:t>
      </w:r>
      <w:proofErr w:type="spellEnd"/>
      <w:r w:rsidRPr="00D06618">
        <w:rPr>
          <w:kern w:val="2"/>
          <w:sz w:val="28"/>
          <w:szCs w:val="28"/>
        </w:rPr>
        <w:t>, Зимовниковский, Орловский, Пролетарский, Ремонтненский районы).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4.3. Объем производства мяса в живом весе: 100 тыс. тонн – в 2024 году, 120 тыс. тонн в 2030 году.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 xml:space="preserve">4.4. Объем инвестиций – не менее 50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 к 2030 году.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4.5. Создание не менее 2 100 рабочих мест.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4.6.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Ожидаемый годовой стоимостной объем продукции к 2030 году – около 10 </w:t>
      </w:r>
      <w:proofErr w:type="spellStart"/>
      <w:proofErr w:type="gramStart"/>
      <w:r w:rsidRPr="00D06618">
        <w:rPr>
          <w:kern w:val="2"/>
          <w:sz w:val="28"/>
          <w:szCs w:val="28"/>
        </w:rPr>
        <w:t>млрд</w:t>
      </w:r>
      <w:proofErr w:type="spellEnd"/>
      <w:proofErr w:type="gramEnd"/>
      <w:r w:rsidRPr="00D06618">
        <w:rPr>
          <w:kern w:val="2"/>
          <w:sz w:val="28"/>
          <w:szCs w:val="28"/>
        </w:rPr>
        <w:t xml:space="preserve"> рублей.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4.7. Стартовые проекты: МПК «Восток», Ремонтненский район.</w:t>
      </w:r>
    </w:p>
    <w:p w:rsidR="00A4348B" w:rsidRPr="00D06618" w:rsidRDefault="00A4348B" w:rsidP="00A4348B">
      <w:pPr>
        <w:tabs>
          <w:tab w:val="left" w:pos="426"/>
          <w:tab w:val="left" w:pos="1276"/>
        </w:tabs>
        <w:ind w:firstLine="709"/>
        <w:contextualSpacing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4.8.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Экспортные поставки в: Судан, Казахстан, ОАЭ, Алжир, Китай и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>другие.</w:t>
      </w:r>
    </w:p>
    <w:p w:rsidR="00A4348B" w:rsidRPr="00D06618" w:rsidRDefault="00A4348B" w:rsidP="00A4348B">
      <w:pPr>
        <w:ind w:firstLine="709"/>
        <w:jc w:val="both"/>
        <w:rPr>
          <w:kern w:val="2"/>
          <w:sz w:val="28"/>
          <w:szCs w:val="28"/>
        </w:rPr>
      </w:pPr>
      <w:r w:rsidRPr="00D06618">
        <w:rPr>
          <w:kern w:val="2"/>
          <w:sz w:val="28"/>
          <w:szCs w:val="28"/>
        </w:rPr>
        <w:t>5. «Умное земледелие».</w:t>
      </w:r>
    </w:p>
    <w:p w:rsidR="00D43384" w:rsidRDefault="00A4348B" w:rsidP="00A4348B">
      <w:pPr>
        <w:ind w:firstLine="708"/>
        <w:jc w:val="both"/>
      </w:pPr>
      <w:r w:rsidRPr="00D06618">
        <w:rPr>
          <w:kern w:val="2"/>
          <w:sz w:val="28"/>
          <w:szCs w:val="28"/>
        </w:rPr>
        <w:t>5.1.</w:t>
      </w:r>
      <w:r>
        <w:rPr>
          <w:kern w:val="2"/>
          <w:sz w:val="28"/>
          <w:szCs w:val="28"/>
        </w:rPr>
        <w:t> </w:t>
      </w:r>
      <w:proofErr w:type="gramStart"/>
      <w:r w:rsidRPr="00D06618">
        <w:rPr>
          <w:kern w:val="2"/>
          <w:sz w:val="28"/>
          <w:szCs w:val="28"/>
        </w:rPr>
        <w:t>Базовые организации, хозяйства, обладающие достаточным производственным потенциалом, на территории которых будут апробированы, а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впоследствии и внедрены </w:t>
      </w:r>
      <w:proofErr w:type="spellStart"/>
      <w:r w:rsidRPr="00D06618">
        <w:rPr>
          <w:kern w:val="2"/>
          <w:sz w:val="28"/>
          <w:szCs w:val="28"/>
        </w:rPr>
        <w:t>пилотные</w:t>
      </w:r>
      <w:proofErr w:type="spellEnd"/>
      <w:r w:rsidRPr="00D06618">
        <w:rPr>
          <w:kern w:val="2"/>
          <w:sz w:val="28"/>
          <w:szCs w:val="28"/>
        </w:rPr>
        <w:t xml:space="preserve"> проекты по точному земледелию – ФГБНУ</w:t>
      </w:r>
      <w:r>
        <w:rPr>
          <w:kern w:val="2"/>
          <w:sz w:val="28"/>
          <w:szCs w:val="28"/>
        </w:rPr>
        <w:t> </w:t>
      </w:r>
      <w:r w:rsidRPr="00D06618">
        <w:rPr>
          <w:kern w:val="2"/>
          <w:sz w:val="28"/>
          <w:szCs w:val="28"/>
        </w:rPr>
        <w:t xml:space="preserve">«АНЦ «Донской», ФГБНУ ФРАНЦ, Донская опытная станция имени Л.А. Жданова – филиал федерального государственного бюджетного научного учреждения «Федеральный научный центр «Всероссийский научно-исследовательский институт масличных культур имени В.С. </w:t>
      </w:r>
      <w:proofErr w:type="spellStart"/>
      <w:r w:rsidRPr="00D06618">
        <w:rPr>
          <w:kern w:val="2"/>
          <w:sz w:val="28"/>
          <w:szCs w:val="28"/>
        </w:rPr>
        <w:t>Пустовойта</w:t>
      </w:r>
      <w:proofErr w:type="spellEnd"/>
      <w:r w:rsidRPr="00D06618">
        <w:rPr>
          <w:kern w:val="2"/>
          <w:sz w:val="28"/>
          <w:szCs w:val="28"/>
        </w:rPr>
        <w:t>».</w:t>
      </w:r>
      <w:proofErr w:type="gramEnd"/>
    </w:p>
    <w:sectPr w:rsidR="00D43384" w:rsidSect="00D433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8B" w:rsidRDefault="00A4348B" w:rsidP="00A4348B">
      <w:r>
        <w:separator/>
      </w:r>
    </w:p>
  </w:endnote>
  <w:endnote w:type="continuationSeparator" w:id="0">
    <w:p w:rsidR="00A4348B" w:rsidRDefault="00A4348B" w:rsidP="00A4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471"/>
      <w:docPartObj>
        <w:docPartGallery w:val="Page Numbers (Bottom of Page)"/>
        <w:docPartUnique/>
      </w:docPartObj>
    </w:sdtPr>
    <w:sdtContent>
      <w:p w:rsidR="00A4348B" w:rsidRDefault="00A4348B">
        <w:pPr>
          <w:pStyle w:val="a7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4348B" w:rsidRDefault="00A434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8B" w:rsidRDefault="00A4348B" w:rsidP="00A4348B">
      <w:r>
        <w:separator/>
      </w:r>
    </w:p>
  </w:footnote>
  <w:footnote w:type="continuationSeparator" w:id="0">
    <w:p w:rsidR="00A4348B" w:rsidRDefault="00A4348B" w:rsidP="00A43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48B"/>
    <w:rsid w:val="008540CF"/>
    <w:rsid w:val="00A4348B"/>
    <w:rsid w:val="00D4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4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48B"/>
    <w:pPr>
      <w:keepNext/>
      <w:keepLines/>
      <w:spacing w:before="120" w:after="120" w:line="276" w:lineRule="auto"/>
      <w:ind w:left="720"/>
      <w:outlineLvl w:val="2"/>
    </w:pPr>
    <w:rPr>
      <w:rFonts w:eastAsiaTheme="majorEastAsi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34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8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48B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348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348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rsid w:val="00A4348B"/>
    <w:rPr>
      <w:sz w:val="28"/>
    </w:rPr>
  </w:style>
  <w:style w:type="character" w:customStyle="1" w:styleId="a4">
    <w:name w:val="Основной текст Знак"/>
    <w:basedOn w:val="a0"/>
    <w:link w:val="a3"/>
    <w:rsid w:val="00A43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434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43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434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434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4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434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4348B"/>
  </w:style>
  <w:style w:type="paragraph" w:styleId="ac">
    <w:name w:val="Balloon Text"/>
    <w:basedOn w:val="a"/>
    <w:link w:val="ad"/>
    <w:uiPriority w:val="99"/>
    <w:rsid w:val="00A434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4348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348B"/>
  </w:style>
  <w:style w:type="paragraph" w:styleId="ae">
    <w:name w:val="List Paragraph"/>
    <w:aliases w:val="ПАРАГРАФ,Абзац списка для документа"/>
    <w:basedOn w:val="a"/>
    <w:link w:val="af"/>
    <w:uiPriority w:val="34"/>
    <w:qFormat/>
    <w:rsid w:val="00A43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Абзац списка Знак"/>
    <w:aliases w:val="ПАРАГРАФ Знак,Абзац списка для документа Знак"/>
    <w:basedOn w:val="a0"/>
    <w:link w:val="ae"/>
    <w:uiPriority w:val="34"/>
    <w:rsid w:val="00A4348B"/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f2"/>
    <w:uiPriority w:val="99"/>
    <w:unhideWhenUsed/>
    <w:qFormat/>
    <w:rsid w:val="00A4348B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1"/>
    <w:uiPriority w:val="99"/>
    <w:rsid w:val="00A43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 1,Знак сноски-FN,Ciae niinee-FN,Referencia nota al pie"/>
    <w:basedOn w:val="a0"/>
    <w:uiPriority w:val="99"/>
    <w:unhideWhenUsed/>
    <w:rsid w:val="00A4348B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A4348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A4348B"/>
    <w:pPr>
      <w:tabs>
        <w:tab w:val="right" w:leader="dot" w:pos="9345"/>
      </w:tabs>
      <w:jc w:val="both"/>
    </w:pPr>
    <w:rPr>
      <w:rFonts w:eastAsiaTheme="minorEastAsia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4348B"/>
    <w:pPr>
      <w:tabs>
        <w:tab w:val="left" w:pos="880"/>
        <w:tab w:val="right" w:leader="dot" w:pos="9345"/>
      </w:tabs>
      <w:spacing w:after="100" w:line="276" w:lineRule="auto"/>
      <w:ind w:left="220"/>
    </w:pPr>
    <w:rPr>
      <w:rFonts w:eastAsiaTheme="minorEastAsia"/>
      <w:noProof/>
      <w:sz w:val="28"/>
      <w:szCs w:val="28"/>
    </w:rPr>
  </w:style>
  <w:style w:type="character" w:styleId="af5">
    <w:name w:val="Hyperlink"/>
    <w:basedOn w:val="a0"/>
    <w:uiPriority w:val="99"/>
    <w:unhideWhenUsed/>
    <w:rsid w:val="00A4348B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rsid w:val="00A4348B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A4348B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8">
    <w:name w:val="Текст примечания Знак"/>
    <w:basedOn w:val="a0"/>
    <w:link w:val="af7"/>
    <w:uiPriority w:val="99"/>
    <w:rsid w:val="00A4348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A4348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A4348B"/>
    <w:rPr>
      <w:b/>
      <w:bCs/>
    </w:rPr>
  </w:style>
  <w:style w:type="table" w:customStyle="1" w:styleId="210">
    <w:name w:val="Сетка таблицы2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Подзаголовок 15"/>
    <w:basedOn w:val="ae"/>
    <w:link w:val="150"/>
    <w:qFormat/>
    <w:rsid w:val="00A4348B"/>
    <w:pPr>
      <w:keepNext/>
      <w:spacing w:after="0" w:line="360" w:lineRule="auto"/>
      <w:ind w:left="0" w:firstLine="567"/>
      <w:jc w:val="both"/>
    </w:pPr>
    <w:rPr>
      <w:b/>
      <w:sz w:val="28"/>
    </w:rPr>
  </w:style>
  <w:style w:type="character" w:customStyle="1" w:styleId="150">
    <w:name w:val="Подзаголовок 15 Знак"/>
    <w:basedOn w:val="af"/>
    <w:link w:val="15"/>
    <w:rsid w:val="00A4348B"/>
    <w:rPr>
      <w:b/>
      <w:sz w:val="28"/>
    </w:rPr>
  </w:style>
  <w:style w:type="paragraph" w:styleId="afb">
    <w:name w:val="caption"/>
    <w:basedOn w:val="a"/>
    <w:next w:val="a"/>
    <w:uiPriority w:val="35"/>
    <w:unhideWhenUsed/>
    <w:qFormat/>
    <w:rsid w:val="00A4348B"/>
    <w:pPr>
      <w:keepNext/>
      <w:spacing w:before="100" w:beforeAutospacing="1"/>
      <w:ind w:firstLine="567"/>
      <w:jc w:val="both"/>
    </w:pPr>
    <w:rPr>
      <w:rFonts w:eastAsiaTheme="minorEastAsia"/>
      <w:b/>
      <w:sz w:val="28"/>
      <w:szCs w:val="28"/>
    </w:rPr>
  </w:style>
  <w:style w:type="paragraph" w:styleId="afc">
    <w:name w:val="Normal (Web)"/>
    <w:basedOn w:val="a"/>
    <w:uiPriority w:val="99"/>
    <w:unhideWhenUsed/>
    <w:rsid w:val="00A4348B"/>
    <w:pPr>
      <w:spacing w:before="100" w:beforeAutospacing="1" w:after="100" w:afterAutospacing="1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434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348B"/>
  </w:style>
  <w:style w:type="table" w:customStyle="1" w:styleId="32">
    <w:name w:val="Сетка таблицы3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A4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4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4348B"/>
  </w:style>
  <w:style w:type="table" w:customStyle="1" w:styleId="6">
    <w:name w:val="Сетка таблицы6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txt">
    <w:name w:val="sp_txt"/>
    <w:basedOn w:val="a0"/>
    <w:rsid w:val="00A4348B"/>
  </w:style>
  <w:style w:type="paragraph" w:customStyle="1" w:styleId="afe">
    <w:name w:val="Таблица"/>
    <w:basedOn w:val="a"/>
    <w:next w:val="a"/>
    <w:autoRedefine/>
    <w:qFormat/>
    <w:rsid w:val="00A4348B"/>
    <w:pPr>
      <w:keepNext/>
      <w:jc w:val="center"/>
    </w:pPr>
    <w:rPr>
      <w:rFonts w:eastAsiaTheme="minorEastAsia"/>
      <w:sz w:val="28"/>
      <w:szCs w:val="28"/>
    </w:rPr>
  </w:style>
  <w:style w:type="table" w:customStyle="1" w:styleId="121">
    <w:name w:val="Сетка таблицы121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ub-tree-label">
    <w:name w:val="editable-sub-tree-label"/>
    <w:basedOn w:val="a0"/>
    <w:rsid w:val="00A4348B"/>
  </w:style>
  <w:style w:type="table" w:customStyle="1" w:styleId="412">
    <w:name w:val="Сетка таблицы412"/>
    <w:basedOn w:val="a1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a0"/>
    <w:link w:val="16"/>
    <w:locked/>
    <w:rsid w:val="00A4348B"/>
    <w:rPr>
      <w:rFonts w:eastAsia="Calibri"/>
      <w:b/>
      <w:sz w:val="28"/>
    </w:rPr>
  </w:style>
  <w:style w:type="paragraph" w:customStyle="1" w:styleId="16">
    <w:name w:val="Стиль1"/>
    <w:basedOn w:val="a"/>
    <w:link w:val="14"/>
    <w:qFormat/>
    <w:rsid w:val="00A4348B"/>
    <w:pPr>
      <w:keepNext/>
      <w:spacing w:line="360" w:lineRule="auto"/>
      <w:ind w:firstLine="567"/>
      <w:contextualSpacing/>
      <w:jc w:val="both"/>
    </w:pPr>
    <w:rPr>
      <w:rFonts w:asciiTheme="minorHAnsi" w:eastAsia="Calibri" w:hAnsiTheme="minorHAnsi" w:cstheme="minorBidi"/>
      <w:b/>
      <w:sz w:val="28"/>
      <w:szCs w:val="22"/>
      <w:lang w:eastAsia="en-US"/>
    </w:rPr>
  </w:style>
  <w:style w:type="table" w:customStyle="1" w:styleId="1110">
    <w:name w:val="Сетка таблицы111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0"/>
    <w:uiPriority w:val="59"/>
    <w:rsid w:val="00A434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0"/>
    <w:uiPriority w:val="59"/>
    <w:rsid w:val="00A434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A4348B"/>
    <w:rPr>
      <w:color w:val="800080" w:themeColor="followedHyperlink"/>
      <w:u w:val="single"/>
    </w:rPr>
  </w:style>
  <w:style w:type="character" w:customStyle="1" w:styleId="tslstrong">
    <w:name w:val="tsl_strong"/>
    <w:basedOn w:val="a0"/>
    <w:rsid w:val="00A4348B"/>
  </w:style>
  <w:style w:type="character" w:styleId="aff0">
    <w:name w:val="Emphasis"/>
    <w:basedOn w:val="a0"/>
    <w:uiPriority w:val="20"/>
    <w:qFormat/>
    <w:rsid w:val="00A4348B"/>
    <w:rPr>
      <w:i/>
      <w:iCs/>
    </w:rPr>
  </w:style>
  <w:style w:type="paragraph" w:customStyle="1" w:styleId="Style7">
    <w:name w:val="Style7"/>
    <w:basedOn w:val="a"/>
    <w:uiPriority w:val="99"/>
    <w:rsid w:val="00A4348B"/>
    <w:pPr>
      <w:autoSpaceDE w:val="0"/>
      <w:autoSpaceDN w:val="0"/>
      <w:spacing w:line="370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A4348B"/>
    <w:rPr>
      <w:rFonts w:ascii="Times New Roman" w:hAnsi="Times New Roman" w:cs="Times New Roman" w:hint="default"/>
    </w:rPr>
  </w:style>
  <w:style w:type="table" w:customStyle="1" w:styleId="7">
    <w:name w:val="Сетка таблицы7"/>
    <w:basedOn w:val="a1"/>
    <w:next w:val="af0"/>
    <w:uiPriority w:val="39"/>
    <w:rsid w:val="00A4348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0"/>
    <w:uiPriority w:val="59"/>
    <w:rsid w:val="00A434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unhideWhenUsed/>
    <w:rsid w:val="00A4348B"/>
    <w:rPr>
      <w:rFonts w:ascii="Tahoma" w:eastAsiaTheme="minorEastAsi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A434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0">
    <w:name w:val="A8"/>
    <w:uiPriority w:val="99"/>
    <w:rsid w:val="00A4348B"/>
    <w:rPr>
      <w:rFonts w:ascii="PT Serif" w:hAnsi="PT Serif" w:cs="PT Serif" w:hint="default"/>
      <w:i/>
      <w:iCs/>
      <w:color w:val="000000"/>
      <w:sz w:val="22"/>
      <w:szCs w:val="22"/>
      <w:u w:val="single"/>
    </w:rPr>
  </w:style>
  <w:style w:type="paragraph" w:styleId="aff3">
    <w:name w:val="Revision"/>
    <w:hidden/>
    <w:uiPriority w:val="99"/>
    <w:semiHidden/>
    <w:rsid w:val="00A434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3781</Words>
  <Characters>21553</Characters>
  <Application>Microsoft Office Word</Application>
  <DocSecurity>0</DocSecurity>
  <Lines>179</Lines>
  <Paragraphs>50</Paragraphs>
  <ScaleCrop>false</ScaleCrop>
  <Company/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</cp:revision>
  <dcterms:created xsi:type="dcterms:W3CDTF">2019-05-15T07:31:00Z</dcterms:created>
  <dcterms:modified xsi:type="dcterms:W3CDTF">2019-05-15T07:33:00Z</dcterms:modified>
</cp:coreProperties>
</file>